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D6" w:rsidRPr="009E7E26" w:rsidRDefault="009E7E26" w:rsidP="009E7E26">
      <w:pPr>
        <w:jc w:val="center"/>
        <w:rPr>
          <w:b/>
        </w:rPr>
      </w:pPr>
      <w:r w:rsidRPr="00880290">
        <w:rPr>
          <w:rFonts w:hint="eastAsia"/>
          <w:b/>
          <w:sz w:val="24"/>
        </w:rPr>
        <w:t>ユーロの金融政策が直面する次の</w:t>
      </w:r>
      <w:r w:rsidRPr="00880290">
        <w:rPr>
          <w:rFonts w:hint="eastAsia"/>
          <w:b/>
          <w:sz w:val="24"/>
        </w:rPr>
        <w:t>10</w:t>
      </w:r>
      <w:r w:rsidRPr="00880290">
        <w:rPr>
          <w:rFonts w:hint="eastAsia"/>
          <w:b/>
          <w:sz w:val="24"/>
        </w:rPr>
        <w:t>年の課題</w:t>
      </w:r>
    </w:p>
    <w:p w:rsidR="009E7E26" w:rsidRDefault="009E7E26"/>
    <w:p w:rsidR="009E7E26" w:rsidRDefault="009E7E26" w:rsidP="009E7E26">
      <w:pPr>
        <w:jc w:val="right"/>
      </w:pPr>
      <w:r>
        <w:rPr>
          <w:rFonts w:hint="eastAsia"/>
        </w:rPr>
        <w:t>東洋大学経済学部</w:t>
      </w:r>
    </w:p>
    <w:p w:rsidR="009E7E26" w:rsidRDefault="009E7E26" w:rsidP="009E7E26">
      <w:pPr>
        <w:jc w:val="right"/>
      </w:pPr>
      <w:r>
        <w:rPr>
          <w:rFonts w:hint="eastAsia"/>
        </w:rPr>
        <w:t>川野祐司</w:t>
      </w:r>
    </w:p>
    <w:p w:rsidR="009E7E26" w:rsidRPr="0043170F" w:rsidRDefault="009E7E26">
      <w:pPr>
        <w:rPr>
          <w:b/>
          <w:sz w:val="24"/>
        </w:rPr>
      </w:pPr>
      <w:r w:rsidRPr="0043170F">
        <w:rPr>
          <w:rFonts w:hint="eastAsia"/>
          <w:b/>
          <w:sz w:val="24"/>
        </w:rPr>
        <w:t>１．はじめに</w:t>
      </w:r>
    </w:p>
    <w:p w:rsidR="009E7E26" w:rsidRDefault="00962590" w:rsidP="0096666A">
      <w:pPr>
        <w:pStyle w:val="a8"/>
        <w:numPr>
          <w:ilvl w:val="0"/>
          <w:numId w:val="1"/>
        </w:numPr>
        <w:ind w:leftChars="0"/>
      </w:pPr>
      <w:r>
        <w:rPr>
          <w:rFonts w:hint="eastAsia"/>
        </w:rPr>
        <w:t>背景</w:t>
      </w:r>
    </w:p>
    <w:p w:rsidR="00962590" w:rsidRDefault="00962590">
      <w:r>
        <w:rPr>
          <w:rFonts w:hint="eastAsia"/>
        </w:rPr>
        <w:t xml:space="preserve">　</w:t>
      </w:r>
      <w:r>
        <w:rPr>
          <w:rFonts w:hint="eastAsia"/>
        </w:rPr>
        <w:t>1999</w:t>
      </w:r>
      <w:r>
        <w:rPr>
          <w:rFonts w:hint="eastAsia"/>
        </w:rPr>
        <w:t>年にユーロが導入され，ユーロシステムによる単一金融政策が行われてきた．</w:t>
      </w:r>
      <w:r w:rsidR="00880290">
        <w:rPr>
          <w:rFonts w:hint="eastAsia"/>
        </w:rPr>
        <w:t>ユーロシステムの最重要目標は物価安定の維持であり，その点から見ると，これまでの政策はうまくいっている方だと評価できる．この間も，ユーロ地域（</w:t>
      </w:r>
      <w:r w:rsidR="00880290">
        <w:rPr>
          <w:rFonts w:hint="eastAsia"/>
        </w:rPr>
        <w:t>euro area</w:t>
      </w:r>
      <w:r w:rsidR="00880290">
        <w:rPr>
          <w:rFonts w:hint="eastAsia"/>
        </w:rPr>
        <w:t>）の拡大，</w:t>
      </w:r>
      <w:r w:rsidR="00C407EE">
        <w:rPr>
          <w:rFonts w:hint="eastAsia"/>
        </w:rPr>
        <w:t>金融危機，資源価格の乱高下などのイベントを</w:t>
      </w:r>
      <w:r w:rsidR="00880290">
        <w:rPr>
          <w:rFonts w:hint="eastAsia"/>
        </w:rPr>
        <w:t>こなしてきた．</w:t>
      </w:r>
      <w:r w:rsidR="00C407EE">
        <w:rPr>
          <w:rFonts w:hint="eastAsia"/>
        </w:rPr>
        <w:t>ユーロの金融政策の枠組みは幾度かの修正受けて今日に至っているが，本報告では長期的展望に立ってユーロシステム</w:t>
      </w:r>
      <w:r w:rsidR="00DA1E3B">
        <w:rPr>
          <w:rFonts w:hint="eastAsia"/>
        </w:rPr>
        <w:t>の課題をとりあげる．</w:t>
      </w:r>
    </w:p>
    <w:p w:rsidR="009E7E26" w:rsidRDefault="009E7E26"/>
    <w:p w:rsidR="009E7E26" w:rsidRDefault="009E7E26" w:rsidP="0096666A">
      <w:pPr>
        <w:pStyle w:val="a8"/>
        <w:numPr>
          <w:ilvl w:val="0"/>
          <w:numId w:val="1"/>
        </w:numPr>
        <w:ind w:leftChars="0"/>
      </w:pPr>
      <w:r>
        <w:rPr>
          <w:rFonts w:hint="eastAsia"/>
        </w:rPr>
        <w:t>本報告で使う用語</w:t>
      </w:r>
    </w:p>
    <w:p w:rsidR="009E7E26" w:rsidRDefault="009E7E26" w:rsidP="00AE370F">
      <w:pPr>
        <w:ind w:left="1205" w:hangingChars="500" w:hanging="1205"/>
      </w:pPr>
      <w:r>
        <w:rPr>
          <w:rFonts w:hint="eastAsia"/>
        </w:rPr>
        <w:t>ユーロシステム（</w:t>
      </w:r>
      <w:r>
        <w:rPr>
          <w:rFonts w:hint="eastAsia"/>
        </w:rPr>
        <w:t>Eurosystem</w:t>
      </w:r>
      <w:r>
        <w:rPr>
          <w:rFonts w:hint="eastAsia"/>
        </w:rPr>
        <w:t>）：</w:t>
      </w:r>
      <w:r>
        <w:rPr>
          <w:rFonts w:hint="eastAsia"/>
        </w:rPr>
        <w:t>ECB</w:t>
      </w:r>
      <w:r>
        <w:rPr>
          <w:rFonts w:hint="eastAsia"/>
        </w:rPr>
        <w:t>（欧州中央銀行）とユーロ参加</w:t>
      </w:r>
      <w:r>
        <w:rPr>
          <w:rFonts w:hint="eastAsia"/>
        </w:rPr>
        <w:t>16</w:t>
      </w:r>
      <w:r>
        <w:rPr>
          <w:rFonts w:hint="eastAsia"/>
        </w:rPr>
        <w:t>中央銀行からなるユーロの金融政策の主体</w:t>
      </w:r>
    </w:p>
    <w:p w:rsidR="009E7E26" w:rsidRDefault="009E7E26" w:rsidP="00AE370F">
      <w:pPr>
        <w:ind w:left="1205" w:hangingChars="500" w:hanging="1205"/>
      </w:pPr>
      <w:r>
        <w:rPr>
          <w:rFonts w:hint="eastAsia"/>
        </w:rPr>
        <w:t>ユーロ地域（</w:t>
      </w:r>
      <w:r>
        <w:rPr>
          <w:rFonts w:hint="eastAsia"/>
        </w:rPr>
        <w:t>euro area</w:t>
      </w:r>
      <w:r>
        <w:rPr>
          <w:rFonts w:hint="eastAsia"/>
        </w:rPr>
        <w:t>）：ユーロに参加している</w:t>
      </w:r>
      <w:r>
        <w:rPr>
          <w:rFonts w:hint="eastAsia"/>
        </w:rPr>
        <w:t>16</w:t>
      </w:r>
      <w:r>
        <w:rPr>
          <w:rFonts w:hint="eastAsia"/>
        </w:rPr>
        <w:t>カ国の領域</w:t>
      </w:r>
      <w:r w:rsidR="00AE370F">
        <w:rPr>
          <w:rFonts w:hint="eastAsia"/>
        </w:rPr>
        <w:t>．</w:t>
      </w:r>
    </w:p>
    <w:p w:rsidR="00431E60" w:rsidRDefault="00431E60" w:rsidP="00AE370F">
      <w:pPr>
        <w:ind w:left="1205" w:hangingChars="500" w:hanging="1205"/>
      </w:pPr>
      <w:r>
        <w:rPr>
          <w:rFonts w:hint="eastAsia"/>
        </w:rPr>
        <w:t>2</w:t>
      </w:r>
      <w:r>
        <w:rPr>
          <w:rFonts w:hint="eastAsia"/>
        </w:rPr>
        <w:t>本柱アプローチ：将来のインフレリスクを広範な経済指標群とマネーサプライの両面から評価する方法．</w:t>
      </w:r>
      <w:r>
        <w:rPr>
          <w:rFonts w:hint="eastAsia"/>
        </w:rPr>
        <w:t>2003</w:t>
      </w:r>
      <w:r>
        <w:rPr>
          <w:rFonts w:hint="eastAsia"/>
        </w:rPr>
        <w:t>年に修正が加えられ，マネーサプライの地位は後退した．</w:t>
      </w:r>
    </w:p>
    <w:p w:rsidR="00BF3AEA" w:rsidRDefault="00BF3AEA" w:rsidP="00BF3AEA">
      <w:pPr>
        <w:ind w:left="1205" w:hangingChars="500" w:hanging="1205"/>
      </w:pPr>
      <w:r>
        <w:rPr>
          <w:rFonts w:hint="eastAsia"/>
        </w:rPr>
        <w:t>HICP</w:t>
      </w:r>
      <w:r>
        <w:rPr>
          <w:rFonts w:hint="eastAsia"/>
        </w:rPr>
        <w:t>（</w:t>
      </w:r>
      <w:r>
        <w:rPr>
          <w:rFonts w:hint="eastAsia"/>
        </w:rPr>
        <w:t>Harmonised Index of Consumers Prices</w:t>
      </w:r>
      <w:r>
        <w:rPr>
          <w:rFonts w:hint="eastAsia"/>
        </w:rPr>
        <w:t>）：</w:t>
      </w:r>
      <w:r>
        <w:rPr>
          <w:rFonts w:hint="eastAsia"/>
        </w:rPr>
        <w:t>EU</w:t>
      </w:r>
      <w:r>
        <w:rPr>
          <w:rFonts w:hint="eastAsia"/>
        </w:rPr>
        <w:t>で算出基準を統一した消費者物価指数．ユーロシステムが参照するインフレ率．</w:t>
      </w:r>
    </w:p>
    <w:p w:rsidR="00BF3AEA" w:rsidRDefault="00BF3AEA" w:rsidP="00BF3AEA">
      <w:pPr>
        <w:ind w:left="1205" w:hangingChars="500" w:hanging="1205"/>
      </w:pPr>
    </w:p>
    <w:p w:rsidR="009E7E26" w:rsidRPr="00BF3AEA" w:rsidRDefault="009E7E26"/>
    <w:p w:rsidR="009E7E26" w:rsidRPr="0043170F" w:rsidRDefault="008B3C48">
      <w:pPr>
        <w:rPr>
          <w:b/>
        </w:rPr>
      </w:pPr>
      <w:r w:rsidRPr="0043170F">
        <w:rPr>
          <w:rFonts w:hint="eastAsia"/>
          <w:b/>
          <w:sz w:val="24"/>
        </w:rPr>
        <w:t>２．ユーロ導入後の経済状況</w:t>
      </w:r>
    </w:p>
    <w:p w:rsidR="00B60C25" w:rsidRDefault="00B60C25"/>
    <w:p w:rsidR="00B60C25" w:rsidRPr="0043170F" w:rsidRDefault="00B60C25">
      <w:pPr>
        <w:rPr>
          <w:b/>
        </w:rPr>
      </w:pPr>
      <w:r w:rsidRPr="0043170F">
        <w:rPr>
          <w:rFonts w:hint="eastAsia"/>
          <w:b/>
        </w:rPr>
        <w:t>図表</w:t>
      </w:r>
      <w:r w:rsidRPr="0043170F">
        <w:rPr>
          <w:rFonts w:hint="eastAsia"/>
          <w:b/>
        </w:rPr>
        <w:t>1</w:t>
      </w:r>
      <w:r w:rsidRPr="0043170F">
        <w:rPr>
          <w:rFonts w:hint="eastAsia"/>
          <w:b/>
        </w:rPr>
        <w:t xml:space="preserve">　ユーロの政策金利（％）</w:t>
      </w:r>
    </w:p>
    <w:p w:rsidR="008B3508" w:rsidRDefault="00B60C25">
      <w:r w:rsidRPr="00B60C25">
        <w:rPr>
          <w:noProof/>
          <w:lang w:val="en-US"/>
        </w:rPr>
        <w:drawing>
          <wp:inline distT="0" distB="0" distL="0" distR="0">
            <wp:extent cx="4638675" cy="2790825"/>
            <wp:effectExtent l="19050" t="0" r="9525" b="0"/>
            <wp:docPr id="5"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0C25" w:rsidRDefault="00B60C25">
      <w:r>
        <w:rPr>
          <w:rFonts w:hint="eastAsia"/>
        </w:rPr>
        <w:t>（注）データは</w:t>
      </w:r>
      <w:r>
        <w:rPr>
          <w:rFonts w:hint="eastAsia"/>
        </w:rPr>
        <w:t>ECB</w:t>
      </w:r>
      <w:r>
        <w:rPr>
          <w:rFonts w:hint="eastAsia"/>
        </w:rPr>
        <w:t>．主要政策金利（</w:t>
      </w:r>
      <w:r>
        <w:rPr>
          <w:rFonts w:hint="eastAsia"/>
        </w:rPr>
        <w:t>MRO</w:t>
      </w:r>
      <w:r>
        <w:rPr>
          <w:rFonts w:hint="eastAsia"/>
        </w:rPr>
        <w:t>）の推移．</w:t>
      </w:r>
    </w:p>
    <w:p w:rsidR="00B60C25" w:rsidRPr="0043170F" w:rsidRDefault="00B60C25">
      <w:pPr>
        <w:rPr>
          <w:b/>
        </w:rPr>
      </w:pPr>
      <w:r w:rsidRPr="0043170F">
        <w:rPr>
          <w:rFonts w:hint="eastAsia"/>
          <w:b/>
        </w:rPr>
        <w:lastRenderedPageBreak/>
        <w:t>図表</w:t>
      </w:r>
      <w:r w:rsidRPr="0043170F">
        <w:rPr>
          <w:rFonts w:hint="eastAsia"/>
          <w:b/>
        </w:rPr>
        <w:t>2</w:t>
      </w:r>
      <w:r w:rsidRPr="0043170F">
        <w:rPr>
          <w:rFonts w:hint="eastAsia"/>
          <w:b/>
        </w:rPr>
        <w:t xml:space="preserve">　ユーロ地域の経済状況（％）</w:t>
      </w:r>
    </w:p>
    <w:p w:rsidR="00431E60" w:rsidRDefault="00B60C25">
      <w:r w:rsidRPr="00B60C25">
        <w:rPr>
          <w:noProof/>
          <w:lang w:val="en-US"/>
        </w:rPr>
        <w:drawing>
          <wp:inline distT="0" distB="0" distL="0" distR="0">
            <wp:extent cx="4838700" cy="3352800"/>
            <wp:effectExtent l="19050" t="0" r="19050" b="0"/>
            <wp:docPr id="4"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0C25" w:rsidRDefault="00B60C25">
      <w:r>
        <w:rPr>
          <w:rFonts w:hint="eastAsia"/>
        </w:rPr>
        <w:t>（注）データは</w:t>
      </w:r>
      <w:r>
        <w:rPr>
          <w:rFonts w:hint="eastAsia"/>
        </w:rPr>
        <w:t>ECB</w:t>
      </w:r>
      <w:r>
        <w:rPr>
          <w:rFonts w:hint="eastAsia"/>
        </w:rPr>
        <w:t>．</w:t>
      </w:r>
      <w:r w:rsidR="00BF3AEA">
        <w:rPr>
          <w:rFonts w:hint="eastAsia"/>
        </w:rPr>
        <w:t>棒グラフは</w:t>
      </w:r>
      <w:r w:rsidR="00BF3AEA">
        <w:rPr>
          <w:rFonts w:hint="eastAsia"/>
        </w:rPr>
        <w:t>GDP</w:t>
      </w:r>
      <w:r w:rsidR="00BF3AEA">
        <w:rPr>
          <w:rFonts w:hint="eastAsia"/>
        </w:rPr>
        <w:t>成長率，実線は</w:t>
      </w:r>
      <w:r w:rsidR="00BF3AEA">
        <w:rPr>
          <w:rFonts w:hint="eastAsia"/>
        </w:rPr>
        <w:t>HICP</w:t>
      </w:r>
      <w:r w:rsidR="00BF3AEA">
        <w:rPr>
          <w:rFonts w:hint="eastAsia"/>
        </w:rPr>
        <w:t>，点線は</w:t>
      </w:r>
      <w:r w:rsidR="00BF3AEA">
        <w:rPr>
          <w:rFonts w:hint="eastAsia"/>
        </w:rPr>
        <w:t>M3</w:t>
      </w:r>
      <w:r w:rsidR="00BF3AEA">
        <w:rPr>
          <w:rFonts w:hint="eastAsia"/>
        </w:rPr>
        <w:t>．</w:t>
      </w:r>
    </w:p>
    <w:p w:rsidR="00B60C25" w:rsidRDefault="00B60C25"/>
    <w:p w:rsidR="00AE370F" w:rsidRDefault="00BF3AEA">
      <w:r>
        <w:rPr>
          <w:rFonts w:hint="eastAsia"/>
        </w:rPr>
        <w:t>→</w:t>
      </w:r>
      <w:r w:rsidR="00431E60">
        <w:rPr>
          <w:rFonts w:hint="eastAsia"/>
        </w:rPr>
        <w:t>1999</w:t>
      </w:r>
      <w:r w:rsidR="00431E60">
        <w:rPr>
          <w:rFonts w:hint="eastAsia"/>
        </w:rPr>
        <w:t>年からの</w:t>
      </w:r>
      <w:r w:rsidR="00431E60">
        <w:rPr>
          <w:rFonts w:hint="eastAsia"/>
        </w:rPr>
        <w:t>10</w:t>
      </w:r>
      <w:r w:rsidR="00431E60">
        <w:rPr>
          <w:rFonts w:hint="eastAsia"/>
        </w:rPr>
        <w:t>年間のインフレ率は，アメリカで</w:t>
      </w:r>
      <w:r w:rsidR="00431E60">
        <w:rPr>
          <w:rFonts w:hint="eastAsia"/>
        </w:rPr>
        <w:t>2.8</w:t>
      </w:r>
      <w:r w:rsidR="00431E60">
        <w:rPr>
          <w:rFonts w:hint="eastAsia"/>
        </w:rPr>
        <w:t>％，ユーロ地域で</w:t>
      </w:r>
      <w:r w:rsidR="00431E60">
        <w:rPr>
          <w:rFonts w:hint="eastAsia"/>
        </w:rPr>
        <w:t>2.2</w:t>
      </w:r>
      <w:r w:rsidR="00431E60">
        <w:rPr>
          <w:rFonts w:hint="eastAsia"/>
        </w:rPr>
        <w:t>％</w:t>
      </w:r>
      <w:r w:rsidR="00DA1E3B">
        <w:rPr>
          <w:rFonts w:hint="eastAsia"/>
        </w:rPr>
        <w:t>．</w:t>
      </w:r>
    </w:p>
    <w:p w:rsidR="00AE370F" w:rsidRPr="00431E60" w:rsidRDefault="00AE370F"/>
    <w:p w:rsidR="00880290" w:rsidRDefault="00880290"/>
    <w:p w:rsidR="00880290" w:rsidRPr="00F8783A" w:rsidRDefault="00880290">
      <w:pPr>
        <w:rPr>
          <w:b/>
          <w:sz w:val="24"/>
        </w:rPr>
      </w:pPr>
      <w:r w:rsidRPr="00F8783A">
        <w:rPr>
          <w:rFonts w:hint="eastAsia"/>
          <w:b/>
          <w:sz w:val="24"/>
        </w:rPr>
        <w:t>３．ユーロシステムの課題</w:t>
      </w:r>
    </w:p>
    <w:p w:rsidR="00880290" w:rsidRDefault="00880290"/>
    <w:p w:rsidR="008B3C48" w:rsidRPr="008B3C48" w:rsidRDefault="008B3C48">
      <w:r>
        <w:rPr>
          <w:rFonts w:hint="eastAsia"/>
        </w:rPr>
        <w:t xml:space="preserve">　ユーロシステムは，経済構造の異なる複数の国に単一の金融政策を行うという困難に直面しており，それに起因するいくつかの課題を持っている．また，中央銀行が一般に持っている課題にも直面している．本報告では，それぞれ</w:t>
      </w:r>
      <w:r>
        <w:rPr>
          <w:rFonts w:hint="eastAsia"/>
        </w:rPr>
        <w:t>1</w:t>
      </w:r>
      <w:r>
        <w:rPr>
          <w:rFonts w:hint="eastAsia"/>
        </w:rPr>
        <w:t>つずつ問題を取り上げていく．</w:t>
      </w:r>
    </w:p>
    <w:p w:rsidR="00880290" w:rsidRDefault="00880290"/>
    <w:p w:rsidR="00880290" w:rsidRPr="00F8783A" w:rsidRDefault="00880290">
      <w:pPr>
        <w:rPr>
          <w:b/>
          <w:sz w:val="22"/>
        </w:rPr>
      </w:pPr>
      <w:r w:rsidRPr="00F8783A">
        <w:rPr>
          <w:rFonts w:hint="eastAsia"/>
          <w:b/>
          <w:sz w:val="22"/>
        </w:rPr>
        <w:t>３－</w:t>
      </w:r>
      <w:r w:rsidR="00396207" w:rsidRPr="00F8783A">
        <w:rPr>
          <w:rFonts w:hint="eastAsia"/>
          <w:b/>
          <w:sz w:val="22"/>
        </w:rPr>
        <w:t>１</w:t>
      </w:r>
      <w:r w:rsidR="008B3C48" w:rsidRPr="00F8783A">
        <w:rPr>
          <w:rFonts w:hint="eastAsia"/>
          <w:b/>
          <w:sz w:val="22"/>
        </w:rPr>
        <w:t>．ユーロ地域への金融政策の</w:t>
      </w:r>
      <w:r w:rsidR="0043170F" w:rsidRPr="00F8783A">
        <w:rPr>
          <w:rFonts w:hint="eastAsia"/>
          <w:b/>
          <w:sz w:val="22"/>
        </w:rPr>
        <w:t>非対称的な</w:t>
      </w:r>
      <w:r w:rsidR="008B3C48" w:rsidRPr="00F8783A">
        <w:rPr>
          <w:rFonts w:hint="eastAsia"/>
          <w:b/>
          <w:sz w:val="22"/>
        </w:rPr>
        <w:t>波及</w:t>
      </w:r>
    </w:p>
    <w:p w:rsidR="008B3C48" w:rsidRDefault="008B3C48">
      <w:r>
        <w:rPr>
          <w:rFonts w:hint="eastAsia"/>
        </w:rPr>
        <w:t xml:space="preserve">　ユーロシステムは，ユーロ地域全体の統計を根拠に金融政策の判断を行う．そのため，各国の統計がユーロ地域全体の統計と異なる振る舞いを見せる集計問題や金融政策の波及の度合いが異なる非対称問題を抱えている．</w:t>
      </w:r>
    </w:p>
    <w:p w:rsidR="008B3C48" w:rsidRDefault="008B3C48"/>
    <w:p w:rsidR="00B47FA0" w:rsidRPr="00F8783A" w:rsidRDefault="00B47FA0">
      <w:pPr>
        <w:rPr>
          <w:b/>
        </w:rPr>
      </w:pPr>
      <w:r w:rsidRPr="00F8783A">
        <w:rPr>
          <w:rFonts w:hint="eastAsia"/>
          <w:b/>
        </w:rPr>
        <w:t>図表</w:t>
      </w:r>
      <w:r w:rsidRPr="00F8783A">
        <w:rPr>
          <w:rFonts w:hint="eastAsia"/>
          <w:b/>
        </w:rPr>
        <w:t>3</w:t>
      </w:r>
      <w:r w:rsidRPr="00F8783A">
        <w:rPr>
          <w:rFonts w:hint="eastAsia"/>
          <w:b/>
        </w:rPr>
        <w:t xml:space="preserve">　ユーロ地域の集計問題</w:t>
      </w:r>
    </w:p>
    <w:tbl>
      <w:tblPr>
        <w:tblStyle w:val="a7"/>
        <w:tblW w:w="0" w:type="auto"/>
        <w:tblInd w:w="108" w:type="dxa"/>
        <w:tblLook w:val="04A0"/>
      </w:tblPr>
      <w:tblGrid>
        <w:gridCol w:w="1842"/>
        <w:gridCol w:w="2204"/>
        <w:gridCol w:w="632"/>
        <w:gridCol w:w="2083"/>
        <w:gridCol w:w="2204"/>
      </w:tblGrid>
      <w:tr w:rsidR="00B47FA0" w:rsidTr="00B47FA0">
        <w:tc>
          <w:tcPr>
            <w:tcW w:w="1842" w:type="dxa"/>
          </w:tcPr>
          <w:p w:rsidR="00B47FA0" w:rsidRDefault="00B47FA0"/>
        </w:tc>
        <w:tc>
          <w:tcPr>
            <w:tcW w:w="2204" w:type="dxa"/>
          </w:tcPr>
          <w:p w:rsidR="00B47FA0" w:rsidRDefault="00B47FA0">
            <w:r>
              <w:rPr>
                <w:rFonts w:hint="eastAsia"/>
              </w:rPr>
              <w:t>2003</w:t>
            </w:r>
            <w:r>
              <w:rPr>
                <w:rFonts w:hint="eastAsia"/>
              </w:rPr>
              <w:t>年→</w:t>
            </w:r>
            <w:r>
              <w:rPr>
                <w:rFonts w:hint="eastAsia"/>
              </w:rPr>
              <w:t>2004</w:t>
            </w:r>
            <w:r>
              <w:rPr>
                <w:rFonts w:hint="eastAsia"/>
              </w:rPr>
              <w:t>年</w:t>
            </w:r>
          </w:p>
        </w:tc>
        <w:tc>
          <w:tcPr>
            <w:tcW w:w="632" w:type="dxa"/>
          </w:tcPr>
          <w:p w:rsidR="00B47FA0" w:rsidRDefault="00B47FA0"/>
        </w:tc>
        <w:tc>
          <w:tcPr>
            <w:tcW w:w="2083" w:type="dxa"/>
          </w:tcPr>
          <w:p w:rsidR="00B47FA0" w:rsidRDefault="00B47FA0"/>
        </w:tc>
        <w:tc>
          <w:tcPr>
            <w:tcW w:w="2204" w:type="dxa"/>
          </w:tcPr>
          <w:p w:rsidR="00B47FA0" w:rsidRDefault="00B47FA0">
            <w:r>
              <w:rPr>
                <w:rFonts w:hint="eastAsia"/>
              </w:rPr>
              <w:t>2005</w:t>
            </w:r>
            <w:r>
              <w:rPr>
                <w:rFonts w:hint="eastAsia"/>
              </w:rPr>
              <w:t>年→</w:t>
            </w:r>
            <w:r>
              <w:rPr>
                <w:rFonts w:hint="eastAsia"/>
              </w:rPr>
              <w:t>2006</w:t>
            </w:r>
            <w:r>
              <w:rPr>
                <w:rFonts w:hint="eastAsia"/>
              </w:rPr>
              <w:t>年</w:t>
            </w:r>
          </w:p>
        </w:tc>
      </w:tr>
      <w:tr w:rsidR="00B47FA0" w:rsidTr="00B47FA0">
        <w:tc>
          <w:tcPr>
            <w:tcW w:w="1842" w:type="dxa"/>
          </w:tcPr>
          <w:p w:rsidR="00B47FA0" w:rsidRDefault="00B47FA0">
            <w:r>
              <w:rPr>
                <w:rFonts w:hint="eastAsia"/>
              </w:rPr>
              <w:t>ユーロ地域</w:t>
            </w:r>
          </w:p>
        </w:tc>
        <w:tc>
          <w:tcPr>
            <w:tcW w:w="2204" w:type="dxa"/>
          </w:tcPr>
          <w:p w:rsidR="00B47FA0" w:rsidRDefault="00B47FA0">
            <w:r>
              <w:rPr>
                <w:rFonts w:hint="eastAsia"/>
              </w:rPr>
              <w:t>2.1</w:t>
            </w:r>
            <w:r>
              <w:rPr>
                <w:rFonts w:hint="eastAsia"/>
              </w:rPr>
              <w:t>→</w:t>
            </w:r>
            <w:r>
              <w:rPr>
                <w:rFonts w:hint="eastAsia"/>
              </w:rPr>
              <w:t>2.1</w:t>
            </w:r>
          </w:p>
        </w:tc>
        <w:tc>
          <w:tcPr>
            <w:tcW w:w="632" w:type="dxa"/>
          </w:tcPr>
          <w:p w:rsidR="00B47FA0" w:rsidRDefault="00B47FA0"/>
        </w:tc>
        <w:tc>
          <w:tcPr>
            <w:tcW w:w="2083" w:type="dxa"/>
          </w:tcPr>
          <w:p w:rsidR="00B47FA0" w:rsidRDefault="00B47FA0">
            <w:r>
              <w:rPr>
                <w:rFonts w:hint="eastAsia"/>
              </w:rPr>
              <w:t>ユーロ地域</w:t>
            </w:r>
          </w:p>
        </w:tc>
        <w:tc>
          <w:tcPr>
            <w:tcW w:w="2204" w:type="dxa"/>
          </w:tcPr>
          <w:p w:rsidR="00B47FA0" w:rsidRDefault="00B47FA0">
            <w:r>
              <w:rPr>
                <w:rFonts w:hint="eastAsia"/>
              </w:rPr>
              <w:t>2.2</w:t>
            </w:r>
            <w:r>
              <w:rPr>
                <w:rFonts w:hint="eastAsia"/>
              </w:rPr>
              <w:t>→</w:t>
            </w:r>
            <w:r>
              <w:rPr>
                <w:rFonts w:hint="eastAsia"/>
              </w:rPr>
              <w:t>2.2</w:t>
            </w:r>
          </w:p>
        </w:tc>
      </w:tr>
      <w:tr w:rsidR="00B47FA0" w:rsidTr="00B47FA0">
        <w:tc>
          <w:tcPr>
            <w:tcW w:w="1842" w:type="dxa"/>
          </w:tcPr>
          <w:p w:rsidR="00B47FA0" w:rsidRDefault="00B47FA0">
            <w:r>
              <w:rPr>
                <w:rFonts w:hint="eastAsia"/>
              </w:rPr>
              <w:t>ドイツ</w:t>
            </w:r>
          </w:p>
        </w:tc>
        <w:tc>
          <w:tcPr>
            <w:tcW w:w="2204" w:type="dxa"/>
          </w:tcPr>
          <w:p w:rsidR="00B47FA0" w:rsidRDefault="00B47FA0">
            <w:r>
              <w:rPr>
                <w:rFonts w:hint="eastAsia"/>
              </w:rPr>
              <w:t>1.0</w:t>
            </w:r>
            <w:r>
              <w:rPr>
                <w:rFonts w:hint="eastAsia"/>
              </w:rPr>
              <w:t>→</w:t>
            </w:r>
            <w:r>
              <w:rPr>
                <w:rFonts w:hint="eastAsia"/>
              </w:rPr>
              <w:t>1.8</w:t>
            </w:r>
          </w:p>
        </w:tc>
        <w:tc>
          <w:tcPr>
            <w:tcW w:w="632" w:type="dxa"/>
          </w:tcPr>
          <w:p w:rsidR="00B47FA0" w:rsidRDefault="00B47FA0"/>
        </w:tc>
        <w:tc>
          <w:tcPr>
            <w:tcW w:w="2083" w:type="dxa"/>
          </w:tcPr>
          <w:p w:rsidR="00B47FA0" w:rsidRDefault="00B47FA0">
            <w:r>
              <w:rPr>
                <w:rFonts w:hint="eastAsia"/>
              </w:rPr>
              <w:t>ポルトガル</w:t>
            </w:r>
          </w:p>
        </w:tc>
        <w:tc>
          <w:tcPr>
            <w:tcW w:w="2204" w:type="dxa"/>
          </w:tcPr>
          <w:p w:rsidR="00B47FA0" w:rsidRDefault="00B47FA0">
            <w:r>
              <w:rPr>
                <w:rFonts w:hint="eastAsia"/>
              </w:rPr>
              <w:t>2.1</w:t>
            </w:r>
            <w:r>
              <w:rPr>
                <w:rFonts w:hint="eastAsia"/>
              </w:rPr>
              <w:t>→</w:t>
            </w:r>
            <w:r>
              <w:rPr>
                <w:rFonts w:hint="eastAsia"/>
              </w:rPr>
              <w:t>3.0</w:t>
            </w:r>
          </w:p>
        </w:tc>
      </w:tr>
      <w:tr w:rsidR="00B47FA0" w:rsidTr="00B47FA0">
        <w:tc>
          <w:tcPr>
            <w:tcW w:w="1842" w:type="dxa"/>
          </w:tcPr>
          <w:p w:rsidR="00B47FA0" w:rsidRDefault="00B47FA0">
            <w:r>
              <w:rPr>
                <w:rFonts w:hint="eastAsia"/>
              </w:rPr>
              <w:t>アイルランド</w:t>
            </w:r>
          </w:p>
        </w:tc>
        <w:tc>
          <w:tcPr>
            <w:tcW w:w="2204" w:type="dxa"/>
          </w:tcPr>
          <w:p w:rsidR="00B47FA0" w:rsidRDefault="00B47FA0">
            <w:r>
              <w:rPr>
                <w:rFonts w:hint="eastAsia"/>
              </w:rPr>
              <w:t>4.0</w:t>
            </w:r>
            <w:r>
              <w:rPr>
                <w:rFonts w:hint="eastAsia"/>
              </w:rPr>
              <w:t>→</w:t>
            </w:r>
            <w:r>
              <w:rPr>
                <w:rFonts w:hint="eastAsia"/>
              </w:rPr>
              <w:t>2.3</w:t>
            </w:r>
          </w:p>
        </w:tc>
        <w:tc>
          <w:tcPr>
            <w:tcW w:w="632" w:type="dxa"/>
          </w:tcPr>
          <w:p w:rsidR="00B47FA0" w:rsidRDefault="00B47FA0"/>
        </w:tc>
        <w:tc>
          <w:tcPr>
            <w:tcW w:w="2083" w:type="dxa"/>
          </w:tcPr>
          <w:p w:rsidR="00B47FA0" w:rsidRDefault="00B47FA0">
            <w:r>
              <w:rPr>
                <w:rFonts w:hint="eastAsia"/>
              </w:rPr>
              <w:t>ルクセンブルク</w:t>
            </w:r>
          </w:p>
        </w:tc>
        <w:tc>
          <w:tcPr>
            <w:tcW w:w="2204" w:type="dxa"/>
          </w:tcPr>
          <w:p w:rsidR="00B47FA0" w:rsidRDefault="00B47FA0">
            <w:r>
              <w:rPr>
                <w:rFonts w:hint="eastAsia"/>
              </w:rPr>
              <w:t>3.8</w:t>
            </w:r>
            <w:r>
              <w:rPr>
                <w:rFonts w:hint="eastAsia"/>
              </w:rPr>
              <w:t>→</w:t>
            </w:r>
            <w:r>
              <w:rPr>
                <w:rFonts w:hint="eastAsia"/>
              </w:rPr>
              <w:t>3.0</w:t>
            </w:r>
          </w:p>
        </w:tc>
      </w:tr>
    </w:tbl>
    <w:p w:rsidR="00B47FA0" w:rsidRDefault="00B47FA0">
      <w:r>
        <w:rPr>
          <w:rFonts w:hint="eastAsia"/>
        </w:rPr>
        <w:t>（注）表の数値は</w:t>
      </w:r>
      <w:r>
        <w:rPr>
          <w:rFonts w:hint="eastAsia"/>
        </w:rPr>
        <w:t>HICP</w:t>
      </w:r>
      <w:r>
        <w:rPr>
          <w:rFonts w:hint="eastAsia"/>
        </w:rPr>
        <w:t>の推移．</w:t>
      </w:r>
      <w:r>
        <w:rPr>
          <w:rFonts w:hint="eastAsia"/>
        </w:rPr>
        <w:t>03</w:t>
      </w:r>
      <w:r>
        <w:rPr>
          <w:rFonts w:hint="eastAsia"/>
        </w:rPr>
        <w:t>－</w:t>
      </w:r>
      <w:r>
        <w:rPr>
          <w:rFonts w:hint="eastAsia"/>
        </w:rPr>
        <w:t>04</w:t>
      </w:r>
      <w:r>
        <w:rPr>
          <w:rFonts w:hint="eastAsia"/>
        </w:rPr>
        <w:t>年は</w:t>
      </w:r>
      <w:r>
        <w:rPr>
          <w:rFonts w:hint="eastAsia"/>
        </w:rPr>
        <w:t>HICP</w:t>
      </w:r>
      <w:r>
        <w:rPr>
          <w:rFonts w:hint="eastAsia"/>
        </w:rPr>
        <w:t>の上昇</w:t>
      </w:r>
      <w:r>
        <w:rPr>
          <w:rFonts w:hint="eastAsia"/>
        </w:rPr>
        <w:t>5</w:t>
      </w:r>
      <w:r>
        <w:rPr>
          <w:rFonts w:hint="eastAsia"/>
        </w:rPr>
        <w:t>カ国，下落</w:t>
      </w:r>
      <w:r>
        <w:rPr>
          <w:rFonts w:hint="eastAsia"/>
        </w:rPr>
        <w:t>6</w:t>
      </w:r>
      <w:r>
        <w:rPr>
          <w:rFonts w:hint="eastAsia"/>
        </w:rPr>
        <w:t>カ国，変化なし</w:t>
      </w:r>
      <w:r>
        <w:rPr>
          <w:rFonts w:hint="eastAsia"/>
        </w:rPr>
        <w:t>1</w:t>
      </w:r>
      <w:r>
        <w:rPr>
          <w:rFonts w:hint="eastAsia"/>
        </w:rPr>
        <w:t>カ国，</w:t>
      </w:r>
      <w:r>
        <w:rPr>
          <w:rFonts w:hint="eastAsia"/>
        </w:rPr>
        <w:t>05</w:t>
      </w:r>
      <w:r>
        <w:rPr>
          <w:rFonts w:hint="eastAsia"/>
        </w:rPr>
        <w:t>－</w:t>
      </w:r>
      <w:r>
        <w:rPr>
          <w:rFonts w:hint="eastAsia"/>
        </w:rPr>
        <w:t>06</w:t>
      </w:r>
      <w:r>
        <w:rPr>
          <w:rFonts w:hint="eastAsia"/>
        </w:rPr>
        <w:t>年は</w:t>
      </w:r>
      <w:r>
        <w:rPr>
          <w:rFonts w:hint="eastAsia"/>
        </w:rPr>
        <w:t>HICP</w:t>
      </w:r>
      <w:r>
        <w:rPr>
          <w:rFonts w:hint="eastAsia"/>
        </w:rPr>
        <w:t>の上昇</w:t>
      </w:r>
      <w:r>
        <w:rPr>
          <w:rFonts w:hint="eastAsia"/>
        </w:rPr>
        <w:t>6</w:t>
      </w:r>
      <w:r>
        <w:rPr>
          <w:rFonts w:hint="eastAsia"/>
        </w:rPr>
        <w:t>カ国，下落</w:t>
      </w:r>
      <w:r>
        <w:rPr>
          <w:rFonts w:hint="eastAsia"/>
        </w:rPr>
        <w:t>4</w:t>
      </w:r>
      <w:r>
        <w:rPr>
          <w:rFonts w:hint="eastAsia"/>
        </w:rPr>
        <w:t>カ国，変化なし</w:t>
      </w:r>
      <w:r>
        <w:rPr>
          <w:rFonts w:hint="eastAsia"/>
        </w:rPr>
        <w:t>2</w:t>
      </w:r>
      <w:r>
        <w:rPr>
          <w:rFonts w:hint="eastAsia"/>
        </w:rPr>
        <w:t>カ国だった．</w:t>
      </w:r>
    </w:p>
    <w:p w:rsidR="00B47FA0" w:rsidRDefault="00B47FA0"/>
    <w:p w:rsidR="008B3C48" w:rsidRPr="00F8783A" w:rsidRDefault="008B3C48" w:rsidP="008B3C48">
      <w:pPr>
        <w:rPr>
          <w:b/>
        </w:rPr>
      </w:pPr>
      <w:r w:rsidRPr="00F8783A">
        <w:rPr>
          <w:rFonts w:hint="eastAsia"/>
          <w:b/>
        </w:rPr>
        <w:lastRenderedPageBreak/>
        <w:t>図表</w:t>
      </w:r>
      <w:r w:rsidR="00B47FA0" w:rsidRPr="00F8783A">
        <w:rPr>
          <w:rFonts w:hint="eastAsia"/>
          <w:b/>
        </w:rPr>
        <w:t>4</w:t>
      </w:r>
      <w:r w:rsidRPr="00F8783A">
        <w:rPr>
          <w:rFonts w:hint="eastAsia"/>
          <w:b/>
        </w:rPr>
        <w:t xml:space="preserve">　単一金融政策がユーロ地域各国に与える効果</w:t>
      </w:r>
    </w:p>
    <w:tbl>
      <w:tblPr>
        <w:tblStyle w:val="a7"/>
        <w:tblW w:w="0" w:type="auto"/>
        <w:tblInd w:w="108" w:type="dxa"/>
        <w:tblLook w:val="04A0"/>
      </w:tblPr>
      <w:tblGrid>
        <w:gridCol w:w="2083"/>
        <w:gridCol w:w="1308"/>
        <w:gridCol w:w="862"/>
        <w:gridCol w:w="2083"/>
        <w:gridCol w:w="1403"/>
      </w:tblGrid>
      <w:tr w:rsidR="008B3C48" w:rsidTr="00B222B2">
        <w:tc>
          <w:tcPr>
            <w:tcW w:w="3391" w:type="dxa"/>
            <w:gridSpan w:val="2"/>
          </w:tcPr>
          <w:p w:rsidR="008B3C48" w:rsidRPr="00F34EC7" w:rsidRDefault="008B3C48" w:rsidP="00B222B2">
            <w:pPr>
              <w:jc w:val="center"/>
              <w:rPr>
                <w:b/>
              </w:rPr>
            </w:pPr>
            <w:r w:rsidRPr="00F34EC7">
              <w:rPr>
                <w:rFonts w:hint="eastAsia"/>
                <w:b/>
              </w:rPr>
              <w:t>インフレ率に対する影響度</w:t>
            </w:r>
          </w:p>
        </w:tc>
        <w:tc>
          <w:tcPr>
            <w:tcW w:w="862" w:type="dxa"/>
          </w:tcPr>
          <w:p w:rsidR="008B3C48" w:rsidRPr="00F34EC7" w:rsidRDefault="008B3C48" w:rsidP="00B222B2">
            <w:pPr>
              <w:jc w:val="center"/>
              <w:rPr>
                <w:b/>
              </w:rPr>
            </w:pPr>
          </w:p>
        </w:tc>
        <w:tc>
          <w:tcPr>
            <w:tcW w:w="3486" w:type="dxa"/>
            <w:gridSpan w:val="2"/>
          </w:tcPr>
          <w:p w:rsidR="008B3C48" w:rsidRPr="00F34EC7" w:rsidRDefault="008B3C48" w:rsidP="00B222B2">
            <w:pPr>
              <w:jc w:val="center"/>
              <w:rPr>
                <w:b/>
              </w:rPr>
            </w:pPr>
            <w:r w:rsidRPr="00F34EC7">
              <w:rPr>
                <w:rFonts w:hint="eastAsia"/>
                <w:b/>
                <w:sz w:val="18"/>
              </w:rPr>
              <w:t>（参考）</w:t>
            </w:r>
            <w:r w:rsidRPr="00F34EC7">
              <w:rPr>
                <w:rFonts w:hint="eastAsia"/>
                <w:b/>
              </w:rPr>
              <w:t>GDP</w:t>
            </w:r>
            <w:r w:rsidRPr="00F34EC7">
              <w:rPr>
                <w:rFonts w:hint="eastAsia"/>
                <w:b/>
              </w:rPr>
              <w:t>に対する影響度</w:t>
            </w:r>
          </w:p>
        </w:tc>
      </w:tr>
      <w:tr w:rsidR="008B3C48" w:rsidTr="00B222B2">
        <w:tc>
          <w:tcPr>
            <w:tcW w:w="2083" w:type="dxa"/>
          </w:tcPr>
          <w:p w:rsidR="008B3C48" w:rsidRPr="00F34EC7" w:rsidRDefault="008B3C48" w:rsidP="00B222B2">
            <w:pPr>
              <w:jc w:val="center"/>
              <w:rPr>
                <w:b/>
              </w:rPr>
            </w:pPr>
            <w:r w:rsidRPr="00F34EC7">
              <w:rPr>
                <w:rFonts w:hint="eastAsia"/>
                <w:b/>
              </w:rPr>
              <w:t>国</w:t>
            </w:r>
          </w:p>
        </w:tc>
        <w:tc>
          <w:tcPr>
            <w:tcW w:w="1308" w:type="dxa"/>
          </w:tcPr>
          <w:p w:rsidR="008B3C48" w:rsidRPr="00F34EC7" w:rsidRDefault="008B3C48" w:rsidP="00B222B2">
            <w:pPr>
              <w:jc w:val="center"/>
              <w:rPr>
                <w:b/>
              </w:rPr>
            </w:pPr>
            <w:r w:rsidRPr="00F34EC7">
              <w:rPr>
                <w:rFonts w:hint="eastAsia"/>
                <w:b/>
              </w:rPr>
              <w:t>乖離率</w:t>
            </w:r>
          </w:p>
        </w:tc>
        <w:tc>
          <w:tcPr>
            <w:tcW w:w="862" w:type="dxa"/>
          </w:tcPr>
          <w:p w:rsidR="008B3C48" w:rsidRPr="00F34EC7" w:rsidRDefault="008B3C48" w:rsidP="00B222B2">
            <w:pPr>
              <w:jc w:val="center"/>
              <w:rPr>
                <w:b/>
              </w:rPr>
            </w:pPr>
          </w:p>
        </w:tc>
        <w:tc>
          <w:tcPr>
            <w:tcW w:w="2083" w:type="dxa"/>
          </w:tcPr>
          <w:p w:rsidR="008B3C48" w:rsidRPr="00F34EC7" w:rsidRDefault="008B3C48" w:rsidP="00B222B2">
            <w:pPr>
              <w:jc w:val="center"/>
              <w:rPr>
                <w:b/>
              </w:rPr>
            </w:pPr>
            <w:r w:rsidRPr="00F34EC7">
              <w:rPr>
                <w:rFonts w:hint="eastAsia"/>
                <w:b/>
              </w:rPr>
              <w:t>国</w:t>
            </w:r>
          </w:p>
        </w:tc>
        <w:tc>
          <w:tcPr>
            <w:tcW w:w="1403" w:type="dxa"/>
          </w:tcPr>
          <w:p w:rsidR="008B3C48" w:rsidRPr="00F34EC7" w:rsidRDefault="008B3C48" w:rsidP="00B222B2">
            <w:pPr>
              <w:jc w:val="center"/>
              <w:rPr>
                <w:b/>
              </w:rPr>
            </w:pPr>
            <w:r w:rsidRPr="00F34EC7">
              <w:rPr>
                <w:rFonts w:hint="eastAsia"/>
                <w:b/>
              </w:rPr>
              <w:t>乖離率</w:t>
            </w:r>
          </w:p>
        </w:tc>
      </w:tr>
      <w:tr w:rsidR="008B3C48" w:rsidTr="00B222B2">
        <w:tc>
          <w:tcPr>
            <w:tcW w:w="2083" w:type="dxa"/>
          </w:tcPr>
          <w:p w:rsidR="008B3C48" w:rsidRDefault="008B3C48" w:rsidP="00B222B2">
            <w:r>
              <w:rPr>
                <w:rFonts w:hint="eastAsia"/>
              </w:rPr>
              <w:t>フィンランド</w:t>
            </w:r>
          </w:p>
        </w:tc>
        <w:tc>
          <w:tcPr>
            <w:tcW w:w="1308" w:type="dxa"/>
          </w:tcPr>
          <w:p w:rsidR="008B3C48" w:rsidRDefault="008B3C48" w:rsidP="00B222B2">
            <w:pPr>
              <w:jc w:val="right"/>
            </w:pPr>
            <w:r>
              <w:rPr>
                <w:rFonts w:hint="eastAsia"/>
              </w:rPr>
              <w:t>6.225</w:t>
            </w:r>
          </w:p>
        </w:tc>
        <w:tc>
          <w:tcPr>
            <w:tcW w:w="862" w:type="dxa"/>
          </w:tcPr>
          <w:p w:rsidR="008B3C48" w:rsidRDefault="008B3C48" w:rsidP="00B222B2"/>
        </w:tc>
        <w:tc>
          <w:tcPr>
            <w:tcW w:w="2083" w:type="dxa"/>
          </w:tcPr>
          <w:p w:rsidR="008B3C48" w:rsidRDefault="008B3C48" w:rsidP="00B222B2">
            <w:r>
              <w:rPr>
                <w:rFonts w:hint="eastAsia"/>
              </w:rPr>
              <w:t>フィンランド</w:t>
            </w:r>
          </w:p>
        </w:tc>
        <w:tc>
          <w:tcPr>
            <w:tcW w:w="1403" w:type="dxa"/>
          </w:tcPr>
          <w:p w:rsidR="008B3C48" w:rsidRDefault="008B3C48" w:rsidP="00B222B2">
            <w:pPr>
              <w:jc w:val="right"/>
            </w:pPr>
            <w:r>
              <w:rPr>
                <w:rFonts w:hint="eastAsia"/>
              </w:rPr>
              <w:t>1.382</w:t>
            </w:r>
          </w:p>
        </w:tc>
      </w:tr>
      <w:tr w:rsidR="008B3C48" w:rsidTr="00B222B2">
        <w:tc>
          <w:tcPr>
            <w:tcW w:w="2083" w:type="dxa"/>
          </w:tcPr>
          <w:p w:rsidR="008B3C48" w:rsidRDefault="008B3C48" w:rsidP="00B222B2">
            <w:r>
              <w:rPr>
                <w:rFonts w:hint="eastAsia"/>
              </w:rPr>
              <w:t>オランダ</w:t>
            </w:r>
          </w:p>
        </w:tc>
        <w:tc>
          <w:tcPr>
            <w:tcW w:w="1308" w:type="dxa"/>
          </w:tcPr>
          <w:p w:rsidR="008B3C48" w:rsidRDefault="008B3C48" w:rsidP="00B222B2">
            <w:pPr>
              <w:jc w:val="right"/>
            </w:pPr>
            <w:r>
              <w:rPr>
                <w:rFonts w:hint="eastAsia"/>
              </w:rPr>
              <w:t>5.369</w:t>
            </w:r>
          </w:p>
        </w:tc>
        <w:tc>
          <w:tcPr>
            <w:tcW w:w="862" w:type="dxa"/>
          </w:tcPr>
          <w:p w:rsidR="008B3C48" w:rsidRDefault="008B3C48" w:rsidP="00B222B2"/>
        </w:tc>
        <w:tc>
          <w:tcPr>
            <w:tcW w:w="2083" w:type="dxa"/>
          </w:tcPr>
          <w:p w:rsidR="008B3C48" w:rsidRDefault="008B3C48" w:rsidP="00B222B2">
            <w:r>
              <w:rPr>
                <w:rFonts w:hint="eastAsia"/>
              </w:rPr>
              <w:t>アイルランド</w:t>
            </w:r>
          </w:p>
        </w:tc>
        <w:tc>
          <w:tcPr>
            <w:tcW w:w="1403" w:type="dxa"/>
          </w:tcPr>
          <w:p w:rsidR="008B3C48" w:rsidRDefault="008B3C48" w:rsidP="00B222B2">
            <w:pPr>
              <w:jc w:val="right"/>
            </w:pPr>
            <w:r>
              <w:rPr>
                <w:rFonts w:hint="eastAsia"/>
              </w:rPr>
              <w:t>1.287</w:t>
            </w:r>
          </w:p>
        </w:tc>
      </w:tr>
      <w:tr w:rsidR="008B3C48" w:rsidTr="00B222B2">
        <w:tc>
          <w:tcPr>
            <w:tcW w:w="2083" w:type="dxa"/>
          </w:tcPr>
          <w:p w:rsidR="008B3C48" w:rsidRDefault="008B3C48" w:rsidP="00B222B2">
            <w:r>
              <w:rPr>
                <w:rFonts w:hint="eastAsia"/>
              </w:rPr>
              <w:t>アイルランド</w:t>
            </w:r>
          </w:p>
        </w:tc>
        <w:tc>
          <w:tcPr>
            <w:tcW w:w="1308" w:type="dxa"/>
          </w:tcPr>
          <w:p w:rsidR="008B3C48" w:rsidRDefault="008B3C48" w:rsidP="00B222B2">
            <w:pPr>
              <w:jc w:val="right"/>
            </w:pPr>
            <w:r>
              <w:rPr>
                <w:rFonts w:hint="eastAsia"/>
              </w:rPr>
              <w:t>3.883</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ギリシャ</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0.906</w:t>
            </w:r>
          </w:p>
        </w:tc>
      </w:tr>
      <w:tr w:rsidR="008B3C48" w:rsidTr="00B222B2">
        <w:tc>
          <w:tcPr>
            <w:tcW w:w="2083" w:type="dxa"/>
          </w:tcPr>
          <w:p w:rsidR="008B3C48" w:rsidRDefault="008B3C48" w:rsidP="00B222B2">
            <w:r>
              <w:rPr>
                <w:rFonts w:hint="eastAsia"/>
              </w:rPr>
              <w:t>ギリシャ</w:t>
            </w:r>
          </w:p>
        </w:tc>
        <w:tc>
          <w:tcPr>
            <w:tcW w:w="1308" w:type="dxa"/>
          </w:tcPr>
          <w:p w:rsidR="008B3C48" w:rsidRDefault="008B3C48" w:rsidP="00B222B2">
            <w:pPr>
              <w:jc w:val="right"/>
            </w:pPr>
            <w:r>
              <w:rPr>
                <w:rFonts w:hint="eastAsia"/>
              </w:rPr>
              <w:t>1.729</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オランダ</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0.699</w:t>
            </w:r>
          </w:p>
        </w:tc>
      </w:tr>
      <w:tr w:rsidR="008B3C48" w:rsidTr="00B222B2">
        <w:tc>
          <w:tcPr>
            <w:tcW w:w="2083" w:type="dxa"/>
          </w:tcPr>
          <w:p w:rsidR="008B3C48" w:rsidRPr="002214AF" w:rsidRDefault="008B3C48" w:rsidP="00B222B2">
            <w:pPr>
              <w:rPr>
                <w:shd w:val="pct15" w:color="auto" w:fill="FFFFFF"/>
              </w:rPr>
            </w:pPr>
            <w:r w:rsidRPr="002214AF">
              <w:rPr>
                <w:rFonts w:hint="eastAsia"/>
                <w:shd w:val="pct15" w:color="auto" w:fill="FFFFFF"/>
              </w:rPr>
              <w:t>ベルギー</w:t>
            </w:r>
          </w:p>
        </w:tc>
        <w:tc>
          <w:tcPr>
            <w:tcW w:w="1308" w:type="dxa"/>
          </w:tcPr>
          <w:p w:rsidR="008B3C48" w:rsidRPr="002214AF" w:rsidRDefault="008B3C48" w:rsidP="00B222B2">
            <w:pPr>
              <w:jc w:val="right"/>
              <w:rPr>
                <w:shd w:val="pct15" w:color="auto" w:fill="FFFFFF"/>
              </w:rPr>
            </w:pPr>
            <w:r w:rsidRPr="002214AF">
              <w:rPr>
                <w:rFonts w:hint="eastAsia"/>
                <w:shd w:val="pct15" w:color="auto" w:fill="FFFFFF"/>
              </w:rPr>
              <w:t>0.667</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ポルトガル</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0.648</w:t>
            </w:r>
          </w:p>
        </w:tc>
      </w:tr>
      <w:tr w:rsidR="008B3C48" w:rsidTr="00B222B2">
        <w:tc>
          <w:tcPr>
            <w:tcW w:w="2083" w:type="dxa"/>
          </w:tcPr>
          <w:p w:rsidR="008B3C48" w:rsidRPr="002214AF" w:rsidRDefault="008B3C48" w:rsidP="00B222B2">
            <w:pPr>
              <w:rPr>
                <w:shd w:val="pct15" w:color="auto" w:fill="FFFFFF"/>
              </w:rPr>
            </w:pPr>
            <w:r w:rsidRPr="002214AF">
              <w:rPr>
                <w:rFonts w:hint="eastAsia"/>
                <w:shd w:val="pct15" w:color="auto" w:fill="FFFFFF"/>
              </w:rPr>
              <w:t>イタリア</w:t>
            </w:r>
          </w:p>
        </w:tc>
        <w:tc>
          <w:tcPr>
            <w:tcW w:w="1308" w:type="dxa"/>
          </w:tcPr>
          <w:p w:rsidR="008B3C48" w:rsidRPr="002214AF" w:rsidRDefault="008B3C48" w:rsidP="00B222B2">
            <w:pPr>
              <w:jc w:val="right"/>
              <w:rPr>
                <w:shd w:val="pct15" w:color="auto" w:fill="FFFFFF"/>
              </w:rPr>
            </w:pPr>
            <w:r w:rsidRPr="002214AF">
              <w:rPr>
                <w:rFonts w:hint="eastAsia"/>
                <w:shd w:val="pct15" w:color="auto" w:fill="FFFFFF"/>
              </w:rPr>
              <w:t>0.155</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スペイン</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0.517</w:t>
            </w:r>
          </w:p>
        </w:tc>
      </w:tr>
      <w:tr w:rsidR="008B3C48" w:rsidTr="00B222B2">
        <w:tc>
          <w:tcPr>
            <w:tcW w:w="2083" w:type="dxa"/>
          </w:tcPr>
          <w:p w:rsidR="008B3C48" w:rsidRPr="002214AF" w:rsidRDefault="008B3C48" w:rsidP="00B222B2">
            <w:pPr>
              <w:rPr>
                <w:shd w:val="pct15" w:color="auto" w:fill="FFFFFF"/>
              </w:rPr>
            </w:pPr>
            <w:r w:rsidRPr="002214AF">
              <w:rPr>
                <w:rFonts w:hint="eastAsia"/>
                <w:shd w:val="pct15" w:color="auto" w:fill="FFFFFF"/>
              </w:rPr>
              <w:t>ポルトガル</w:t>
            </w:r>
          </w:p>
        </w:tc>
        <w:tc>
          <w:tcPr>
            <w:tcW w:w="1308" w:type="dxa"/>
          </w:tcPr>
          <w:p w:rsidR="008B3C48" w:rsidRPr="002214AF" w:rsidRDefault="008B3C48" w:rsidP="00B222B2">
            <w:pPr>
              <w:jc w:val="right"/>
              <w:rPr>
                <w:shd w:val="pct15" w:color="auto" w:fill="FFFFFF"/>
              </w:rPr>
            </w:pPr>
            <w:r w:rsidRPr="002214AF">
              <w:rPr>
                <w:rFonts w:hint="eastAsia"/>
                <w:shd w:val="pct15" w:color="auto" w:fill="FFFFFF"/>
              </w:rPr>
              <w:t>－</w:t>
            </w:r>
            <w:r w:rsidRPr="002214AF">
              <w:rPr>
                <w:rFonts w:hint="eastAsia"/>
                <w:shd w:val="pct15" w:color="auto" w:fill="FFFFFF"/>
              </w:rPr>
              <w:t>0.519</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ドイツ</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0.076</w:t>
            </w:r>
          </w:p>
        </w:tc>
      </w:tr>
      <w:tr w:rsidR="008B3C48" w:rsidTr="00B222B2">
        <w:tc>
          <w:tcPr>
            <w:tcW w:w="2083" w:type="dxa"/>
          </w:tcPr>
          <w:p w:rsidR="008B3C48" w:rsidRPr="002214AF" w:rsidRDefault="008B3C48" w:rsidP="00B222B2">
            <w:pPr>
              <w:rPr>
                <w:shd w:val="pct15" w:color="auto" w:fill="FFFFFF"/>
              </w:rPr>
            </w:pPr>
            <w:r w:rsidRPr="002214AF">
              <w:rPr>
                <w:rFonts w:hint="eastAsia"/>
                <w:shd w:val="pct15" w:color="auto" w:fill="FFFFFF"/>
              </w:rPr>
              <w:t>ドイツ</w:t>
            </w:r>
          </w:p>
        </w:tc>
        <w:tc>
          <w:tcPr>
            <w:tcW w:w="1308" w:type="dxa"/>
          </w:tcPr>
          <w:p w:rsidR="008B3C48" w:rsidRPr="002214AF" w:rsidRDefault="008B3C48" w:rsidP="00B222B2">
            <w:pPr>
              <w:jc w:val="right"/>
              <w:rPr>
                <w:shd w:val="pct15" w:color="auto" w:fill="FFFFFF"/>
              </w:rPr>
            </w:pPr>
            <w:r w:rsidRPr="002214AF">
              <w:rPr>
                <w:rFonts w:hint="eastAsia"/>
                <w:shd w:val="pct15" w:color="auto" w:fill="FFFFFF"/>
              </w:rPr>
              <w:t>－</w:t>
            </w:r>
            <w:r w:rsidRPr="002214AF">
              <w:rPr>
                <w:rFonts w:hint="eastAsia"/>
                <w:shd w:val="pct15" w:color="auto" w:fill="FFFFFF"/>
              </w:rPr>
              <w:t>0.858</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イタリア</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0.024</w:t>
            </w:r>
          </w:p>
        </w:tc>
      </w:tr>
      <w:tr w:rsidR="008B3C48" w:rsidTr="00B222B2">
        <w:tc>
          <w:tcPr>
            <w:tcW w:w="2083" w:type="dxa"/>
          </w:tcPr>
          <w:p w:rsidR="008B3C48" w:rsidRDefault="008B3C48" w:rsidP="00B222B2">
            <w:r>
              <w:rPr>
                <w:rFonts w:hint="eastAsia"/>
              </w:rPr>
              <w:t>フランス</w:t>
            </w:r>
          </w:p>
        </w:tc>
        <w:tc>
          <w:tcPr>
            <w:tcW w:w="1308" w:type="dxa"/>
          </w:tcPr>
          <w:p w:rsidR="008B3C48" w:rsidRDefault="008B3C48" w:rsidP="00B222B2">
            <w:pPr>
              <w:jc w:val="right"/>
            </w:pPr>
            <w:r>
              <w:rPr>
                <w:rFonts w:hint="eastAsia"/>
              </w:rPr>
              <w:t>－</w:t>
            </w:r>
            <w:r>
              <w:rPr>
                <w:rFonts w:hint="eastAsia"/>
              </w:rPr>
              <w:t>1.135</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フランス</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0.021</w:t>
            </w:r>
          </w:p>
        </w:tc>
      </w:tr>
      <w:tr w:rsidR="008B3C48" w:rsidTr="00B222B2">
        <w:tc>
          <w:tcPr>
            <w:tcW w:w="2083" w:type="dxa"/>
          </w:tcPr>
          <w:p w:rsidR="008B3C48" w:rsidRDefault="008B3C48" w:rsidP="00B222B2">
            <w:r>
              <w:rPr>
                <w:rFonts w:hint="eastAsia"/>
              </w:rPr>
              <w:t>オーストリア</w:t>
            </w:r>
          </w:p>
        </w:tc>
        <w:tc>
          <w:tcPr>
            <w:tcW w:w="1308" w:type="dxa"/>
          </w:tcPr>
          <w:p w:rsidR="008B3C48" w:rsidRDefault="008B3C48" w:rsidP="00B222B2">
            <w:pPr>
              <w:jc w:val="right"/>
            </w:pPr>
            <w:r>
              <w:rPr>
                <w:rFonts w:hint="eastAsia"/>
              </w:rPr>
              <w:t>－</w:t>
            </w:r>
            <w:r>
              <w:rPr>
                <w:rFonts w:hint="eastAsia"/>
              </w:rPr>
              <w:t>1.560</w:t>
            </w:r>
          </w:p>
        </w:tc>
        <w:tc>
          <w:tcPr>
            <w:tcW w:w="862" w:type="dxa"/>
          </w:tcPr>
          <w:p w:rsidR="008B3C48" w:rsidRDefault="008B3C48" w:rsidP="00B222B2"/>
        </w:tc>
        <w:tc>
          <w:tcPr>
            <w:tcW w:w="2083" w:type="dxa"/>
          </w:tcPr>
          <w:p w:rsidR="008B3C48" w:rsidRPr="002214AF" w:rsidRDefault="008B3C48" w:rsidP="00B222B2">
            <w:pPr>
              <w:rPr>
                <w:shd w:val="pct15" w:color="auto" w:fill="FFFFFF"/>
              </w:rPr>
            </w:pPr>
            <w:r w:rsidRPr="002214AF">
              <w:rPr>
                <w:rFonts w:hint="eastAsia"/>
                <w:shd w:val="pct15" w:color="auto" w:fill="FFFFFF"/>
              </w:rPr>
              <w:t>ベルギー</w:t>
            </w:r>
          </w:p>
        </w:tc>
        <w:tc>
          <w:tcPr>
            <w:tcW w:w="1403" w:type="dxa"/>
          </w:tcPr>
          <w:p w:rsidR="008B3C48" w:rsidRPr="002214AF" w:rsidRDefault="008B3C48" w:rsidP="00B222B2">
            <w:pPr>
              <w:jc w:val="right"/>
              <w:rPr>
                <w:shd w:val="pct15" w:color="auto" w:fill="FFFFFF"/>
              </w:rPr>
            </w:pPr>
            <w:r w:rsidRPr="002214AF">
              <w:rPr>
                <w:rFonts w:hint="eastAsia"/>
                <w:shd w:val="pct15" w:color="auto" w:fill="FFFFFF"/>
              </w:rPr>
              <w:t>－</w:t>
            </w:r>
            <w:r w:rsidRPr="002214AF">
              <w:rPr>
                <w:rFonts w:hint="eastAsia"/>
                <w:shd w:val="pct15" w:color="auto" w:fill="FFFFFF"/>
              </w:rPr>
              <w:t>0.399</w:t>
            </w:r>
          </w:p>
        </w:tc>
      </w:tr>
      <w:tr w:rsidR="008B3C48" w:rsidTr="00B222B2">
        <w:tc>
          <w:tcPr>
            <w:tcW w:w="2083" w:type="dxa"/>
          </w:tcPr>
          <w:p w:rsidR="008B3C48" w:rsidRDefault="008B3C48" w:rsidP="00B222B2">
            <w:r>
              <w:rPr>
                <w:rFonts w:hint="eastAsia"/>
              </w:rPr>
              <w:t>スペイン</w:t>
            </w:r>
          </w:p>
        </w:tc>
        <w:tc>
          <w:tcPr>
            <w:tcW w:w="1308" w:type="dxa"/>
          </w:tcPr>
          <w:p w:rsidR="008B3C48" w:rsidRDefault="008B3C48" w:rsidP="00B222B2">
            <w:pPr>
              <w:jc w:val="right"/>
            </w:pPr>
            <w:r>
              <w:rPr>
                <w:rFonts w:hint="eastAsia"/>
              </w:rPr>
              <w:t>－</w:t>
            </w:r>
            <w:r>
              <w:rPr>
                <w:rFonts w:hint="eastAsia"/>
              </w:rPr>
              <w:t>2.282</w:t>
            </w:r>
          </w:p>
        </w:tc>
        <w:tc>
          <w:tcPr>
            <w:tcW w:w="862" w:type="dxa"/>
          </w:tcPr>
          <w:p w:rsidR="008B3C48" w:rsidRDefault="008B3C48" w:rsidP="00B222B2"/>
        </w:tc>
        <w:tc>
          <w:tcPr>
            <w:tcW w:w="2083" w:type="dxa"/>
          </w:tcPr>
          <w:p w:rsidR="008B3C48" w:rsidRDefault="008B3C48" w:rsidP="00B222B2">
            <w:r>
              <w:rPr>
                <w:rFonts w:hint="eastAsia"/>
              </w:rPr>
              <w:t>オーストリア</w:t>
            </w:r>
          </w:p>
        </w:tc>
        <w:tc>
          <w:tcPr>
            <w:tcW w:w="1403" w:type="dxa"/>
          </w:tcPr>
          <w:p w:rsidR="008B3C48" w:rsidRDefault="008B3C48" w:rsidP="00B222B2">
            <w:pPr>
              <w:jc w:val="right"/>
            </w:pPr>
            <w:r>
              <w:rPr>
                <w:rFonts w:hint="eastAsia"/>
              </w:rPr>
              <w:t>－</w:t>
            </w:r>
            <w:r>
              <w:rPr>
                <w:rFonts w:hint="eastAsia"/>
              </w:rPr>
              <w:t>1.109</w:t>
            </w:r>
          </w:p>
        </w:tc>
      </w:tr>
      <w:tr w:rsidR="008B3C48" w:rsidTr="00B222B2">
        <w:tc>
          <w:tcPr>
            <w:tcW w:w="2083" w:type="dxa"/>
          </w:tcPr>
          <w:p w:rsidR="008B3C48" w:rsidRDefault="008B3C48" w:rsidP="00B222B2">
            <w:r>
              <w:rPr>
                <w:rFonts w:hint="eastAsia"/>
              </w:rPr>
              <w:t>ルクセンブルク</w:t>
            </w:r>
          </w:p>
        </w:tc>
        <w:tc>
          <w:tcPr>
            <w:tcW w:w="1308" w:type="dxa"/>
          </w:tcPr>
          <w:p w:rsidR="008B3C48" w:rsidRDefault="008B3C48" w:rsidP="00B222B2">
            <w:pPr>
              <w:jc w:val="right"/>
            </w:pPr>
            <w:r>
              <w:rPr>
                <w:rFonts w:hint="eastAsia"/>
              </w:rPr>
              <w:t>－</w:t>
            </w:r>
            <w:r>
              <w:rPr>
                <w:rFonts w:hint="eastAsia"/>
              </w:rPr>
              <w:t>4.718</w:t>
            </w:r>
          </w:p>
        </w:tc>
        <w:tc>
          <w:tcPr>
            <w:tcW w:w="862" w:type="dxa"/>
          </w:tcPr>
          <w:p w:rsidR="008B3C48" w:rsidRDefault="008B3C48" w:rsidP="00B222B2"/>
        </w:tc>
        <w:tc>
          <w:tcPr>
            <w:tcW w:w="2083" w:type="dxa"/>
          </w:tcPr>
          <w:p w:rsidR="008B3C48" w:rsidRDefault="008B3C48" w:rsidP="00B222B2">
            <w:r>
              <w:rPr>
                <w:rFonts w:hint="eastAsia"/>
              </w:rPr>
              <w:t>ルクセンブルク</w:t>
            </w:r>
          </w:p>
        </w:tc>
        <w:tc>
          <w:tcPr>
            <w:tcW w:w="1403" w:type="dxa"/>
          </w:tcPr>
          <w:p w:rsidR="008B3C48" w:rsidRDefault="008B3C48" w:rsidP="00B222B2">
            <w:pPr>
              <w:jc w:val="right"/>
            </w:pPr>
            <w:r>
              <w:rPr>
                <w:rFonts w:hint="eastAsia"/>
              </w:rPr>
              <w:t>－</w:t>
            </w:r>
            <w:r>
              <w:rPr>
                <w:rFonts w:hint="eastAsia"/>
              </w:rPr>
              <w:t>2.679</w:t>
            </w:r>
          </w:p>
        </w:tc>
      </w:tr>
    </w:tbl>
    <w:p w:rsidR="008B3C48" w:rsidRDefault="008B3C48" w:rsidP="008B3C48">
      <w:r>
        <w:rPr>
          <w:rFonts w:hint="eastAsia"/>
        </w:rPr>
        <w:t>（注）</w:t>
      </w:r>
      <w:r>
        <w:rPr>
          <w:rFonts w:hint="eastAsia"/>
        </w:rPr>
        <w:t>10</w:t>
      </w:r>
      <w:r>
        <w:rPr>
          <w:rFonts w:hint="eastAsia"/>
        </w:rPr>
        <w:t>期先までのユーロ地域のインパルス反応と各国のインパルス反応の差を標準偏差で割ったもの．</w:t>
      </w:r>
    </w:p>
    <w:p w:rsidR="008B3C48" w:rsidRDefault="008B3C48" w:rsidP="008B3C48"/>
    <w:p w:rsidR="008B3C48" w:rsidRDefault="00F8783A">
      <w:pPr>
        <w:rPr>
          <w:rFonts w:hint="eastAsia"/>
        </w:rPr>
      </w:pPr>
      <w:r>
        <w:rPr>
          <w:rFonts w:hint="eastAsia"/>
        </w:rPr>
        <w:t xml:space="preserve">　→金融政策によるインフレのコントロールは多くの国で不足または過剰になっている．</w:t>
      </w:r>
    </w:p>
    <w:p w:rsidR="00F8783A" w:rsidRDefault="00F8783A">
      <w:pPr>
        <w:rPr>
          <w:rFonts w:hint="eastAsia"/>
        </w:rPr>
      </w:pPr>
    </w:p>
    <w:p w:rsidR="00F8783A" w:rsidRPr="008B3C48" w:rsidRDefault="00F8783A"/>
    <w:p w:rsidR="00396207" w:rsidRDefault="008A358A" w:rsidP="008A358A">
      <w:pPr>
        <w:pStyle w:val="a8"/>
        <w:numPr>
          <w:ilvl w:val="0"/>
          <w:numId w:val="2"/>
        </w:numPr>
        <w:ind w:leftChars="0"/>
      </w:pPr>
      <w:r>
        <w:rPr>
          <w:rFonts w:hint="eastAsia"/>
        </w:rPr>
        <w:t>ユーロ参加基準は妥当か</w:t>
      </w:r>
    </w:p>
    <w:p w:rsidR="00396207" w:rsidRDefault="00396207"/>
    <w:p w:rsidR="000F730B" w:rsidRDefault="000F730B">
      <w:r>
        <w:rPr>
          <w:rFonts w:hint="eastAsia"/>
        </w:rPr>
        <w:t xml:space="preserve">　ユーロ参加基準のうちユーロ参加の思惑により市場が先に動くため，基準が自動的に達成されるものもある．財政基準なども一時的に達成すればいいだけという「実は緩い」基準であるといえる．ユーロ参加基準は経済構造や政策の収斂を表す指標として妥当といえるのか．</w:t>
      </w:r>
    </w:p>
    <w:p w:rsidR="008A358A" w:rsidRDefault="000F730B">
      <w:r>
        <w:rPr>
          <w:rFonts w:hint="eastAsia"/>
        </w:rPr>
        <w:t xml:space="preserve">　→今後のユーロ地域拡大はより慎重に行うべきではないか．リスボン条約では</w:t>
      </w:r>
      <w:r>
        <w:rPr>
          <w:rFonts w:hint="eastAsia"/>
        </w:rPr>
        <w:t>ECB</w:t>
      </w:r>
      <w:r>
        <w:rPr>
          <w:rFonts w:hint="eastAsia"/>
        </w:rPr>
        <w:t>→欧州委員会という提案ルートがある．</w:t>
      </w:r>
    </w:p>
    <w:p w:rsidR="000F730B" w:rsidRDefault="000F730B"/>
    <w:p w:rsidR="000F730B" w:rsidRDefault="000F730B">
      <w:r>
        <w:rPr>
          <w:rFonts w:hint="eastAsia"/>
        </w:rPr>
        <w:t xml:space="preserve">　図表</w:t>
      </w:r>
      <w:r>
        <w:rPr>
          <w:rFonts w:hint="eastAsia"/>
        </w:rPr>
        <w:t>5</w:t>
      </w:r>
      <w:r>
        <w:rPr>
          <w:rFonts w:hint="eastAsia"/>
        </w:rPr>
        <w:t>によると，長期金利はユーロ参加のかなり前から収斂を見せている．これはマクロ経済政策の効果かもしれないが，市場によるユーロ参加への期待から各国国債が買われた動きを反映したともいえる．</w:t>
      </w:r>
    </w:p>
    <w:p w:rsidR="000F730B" w:rsidRDefault="000F730B" w:rsidP="000F730B">
      <w:pPr>
        <w:ind w:firstLineChars="100" w:firstLine="241"/>
      </w:pPr>
      <w:r>
        <w:rPr>
          <w:rFonts w:hint="eastAsia"/>
        </w:rPr>
        <w:t>→財政規律に悪影響</w:t>
      </w:r>
      <w:r w:rsidR="00DA1E3B">
        <w:rPr>
          <w:rFonts w:hint="eastAsia"/>
        </w:rPr>
        <w:t>．</w:t>
      </w:r>
    </w:p>
    <w:p w:rsidR="000F730B" w:rsidRDefault="000F730B"/>
    <w:p w:rsidR="00FF106C" w:rsidRDefault="00FF106C"/>
    <w:p w:rsidR="000F730B" w:rsidRDefault="000F730B"/>
    <w:p w:rsidR="000F730B" w:rsidRDefault="000F730B"/>
    <w:p w:rsidR="000F730B" w:rsidRDefault="000F730B"/>
    <w:p w:rsidR="003E4CA7" w:rsidRPr="00F8783A" w:rsidRDefault="0095461E">
      <w:pPr>
        <w:rPr>
          <w:b/>
        </w:rPr>
      </w:pPr>
      <w:r w:rsidRPr="00F8783A">
        <w:rPr>
          <w:rFonts w:hint="eastAsia"/>
          <w:b/>
        </w:rPr>
        <w:lastRenderedPageBreak/>
        <w:t>図表</w:t>
      </w:r>
      <w:r w:rsidR="000F730B" w:rsidRPr="00F8783A">
        <w:rPr>
          <w:rFonts w:hint="eastAsia"/>
          <w:b/>
        </w:rPr>
        <w:t>5</w:t>
      </w:r>
      <w:r w:rsidRPr="00F8783A">
        <w:rPr>
          <w:rFonts w:hint="eastAsia"/>
          <w:b/>
        </w:rPr>
        <w:t xml:space="preserve">　ユーロ参加前後の長期金利の推移（％）</w:t>
      </w:r>
    </w:p>
    <w:p w:rsidR="00E932B4" w:rsidRDefault="00E932B4">
      <w:r w:rsidRPr="00E932B4">
        <w:rPr>
          <w:noProof/>
          <w:lang w:val="en-US"/>
        </w:rPr>
        <w:drawing>
          <wp:inline distT="0" distB="0" distL="0" distR="0">
            <wp:extent cx="5191125" cy="3171825"/>
            <wp:effectExtent l="1905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07EE" w:rsidRDefault="00E932B4">
      <w:r>
        <w:rPr>
          <w:rFonts w:hint="eastAsia"/>
        </w:rPr>
        <w:t>（注）</w:t>
      </w:r>
      <w:r>
        <w:rPr>
          <w:rFonts w:hint="eastAsia"/>
        </w:rPr>
        <w:t>G1</w:t>
      </w:r>
      <w:r>
        <w:rPr>
          <w:rFonts w:hint="eastAsia"/>
        </w:rPr>
        <w:t>は</w:t>
      </w:r>
      <w:r w:rsidR="009B7A2A">
        <w:rPr>
          <w:rFonts w:hint="eastAsia"/>
        </w:rPr>
        <w:t>スペイン，ギリシャ，イタリア，ポルトガル，</w:t>
      </w:r>
      <w:r w:rsidR="009B7A2A">
        <w:rPr>
          <w:rFonts w:hint="eastAsia"/>
        </w:rPr>
        <w:t>G2</w:t>
      </w:r>
      <w:r w:rsidR="009B7A2A">
        <w:rPr>
          <w:rFonts w:hint="eastAsia"/>
        </w:rPr>
        <w:t>はベルギー，フランス，アイルランド，オランダ，</w:t>
      </w:r>
      <w:r w:rsidR="009B7A2A">
        <w:rPr>
          <w:rFonts w:hint="eastAsia"/>
        </w:rPr>
        <w:t>G3</w:t>
      </w:r>
      <w:r w:rsidR="009B7A2A">
        <w:rPr>
          <w:rFonts w:hint="eastAsia"/>
        </w:rPr>
        <w:t>はキプロス，マルタ，スロバキア，スロベニア</w:t>
      </w:r>
      <w:r w:rsidR="0043170F">
        <w:rPr>
          <w:rFonts w:hint="eastAsia"/>
        </w:rPr>
        <w:t>からなって</w:t>
      </w:r>
      <w:r w:rsidR="009B7A2A">
        <w:rPr>
          <w:rFonts w:hint="eastAsia"/>
        </w:rPr>
        <w:t>おり，グラフはそれぞれのグループの平均値．</w:t>
      </w:r>
      <w:r w:rsidR="009B7A2A">
        <w:rPr>
          <w:rFonts w:hint="eastAsia"/>
        </w:rPr>
        <w:t>T</w:t>
      </w:r>
      <w:r w:rsidR="009B7A2A">
        <w:rPr>
          <w:rFonts w:hint="eastAsia"/>
        </w:rPr>
        <w:t>時点でユーロ参加．</w:t>
      </w:r>
      <w:r w:rsidR="0095461E">
        <w:rPr>
          <w:rFonts w:hint="eastAsia"/>
        </w:rPr>
        <w:t>数値はドイツとの乖離値．</w:t>
      </w:r>
    </w:p>
    <w:p w:rsidR="00396207" w:rsidRDefault="00396207"/>
    <w:p w:rsidR="00396207" w:rsidRPr="00F8783A" w:rsidRDefault="00396207" w:rsidP="00396207">
      <w:pPr>
        <w:rPr>
          <w:b/>
          <w:sz w:val="22"/>
        </w:rPr>
      </w:pPr>
      <w:r w:rsidRPr="00F8783A">
        <w:rPr>
          <w:rFonts w:hint="eastAsia"/>
          <w:b/>
          <w:sz w:val="22"/>
        </w:rPr>
        <w:t>３－２．</w:t>
      </w:r>
      <w:r w:rsidR="00705745">
        <w:rPr>
          <w:rFonts w:hint="eastAsia"/>
          <w:b/>
          <w:sz w:val="22"/>
        </w:rPr>
        <w:t>金融危機における</w:t>
      </w:r>
      <w:r w:rsidRPr="00F8783A">
        <w:rPr>
          <w:rFonts w:hint="eastAsia"/>
          <w:b/>
          <w:sz w:val="22"/>
        </w:rPr>
        <w:t>流動性の</w:t>
      </w:r>
      <w:r w:rsidR="00705745">
        <w:rPr>
          <w:rFonts w:hint="eastAsia"/>
          <w:b/>
          <w:sz w:val="22"/>
        </w:rPr>
        <w:t>供給</w:t>
      </w:r>
    </w:p>
    <w:p w:rsidR="00926F40" w:rsidRPr="00F8783A" w:rsidRDefault="00AE35BF" w:rsidP="003249FE">
      <w:pPr>
        <w:rPr>
          <w:b/>
        </w:rPr>
      </w:pPr>
      <w:r w:rsidRPr="00F8783A">
        <w:rPr>
          <w:rFonts w:hint="eastAsia"/>
          <w:b/>
        </w:rPr>
        <w:t>図表</w:t>
      </w:r>
      <w:r w:rsidRPr="00F8783A">
        <w:rPr>
          <w:rFonts w:hint="eastAsia"/>
          <w:b/>
        </w:rPr>
        <w:t>6</w:t>
      </w:r>
      <w:r w:rsidRPr="00F8783A">
        <w:rPr>
          <w:rFonts w:hint="eastAsia"/>
          <w:b/>
        </w:rPr>
        <w:t xml:space="preserve">　金融政策ストラテジー</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tblPr>
      <w:tblGrid>
        <w:gridCol w:w="564"/>
        <w:gridCol w:w="564"/>
        <w:gridCol w:w="4158"/>
        <w:gridCol w:w="4149"/>
      </w:tblGrid>
      <w:tr w:rsidR="0043170F" w:rsidRPr="00ED6D61" w:rsidTr="0043170F">
        <w:trPr>
          <w:cantSplit/>
          <w:trHeight w:val="1732"/>
          <w:jc w:val="center"/>
        </w:trPr>
        <w:tc>
          <w:tcPr>
            <w:tcW w:w="564" w:type="dxa"/>
            <w:vMerge w:val="restart"/>
            <w:tcBorders>
              <w:top w:val="single" w:sz="12" w:space="0" w:color="auto"/>
              <w:bottom w:val="single" w:sz="4" w:space="0" w:color="auto"/>
              <w:right w:val="single" w:sz="4" w:space="0" w:color="auto"/>
            </w:tcBorders>
            <w:textDirection w:val="tbRlV"/>
            <w:vAlign w:val="center"/>
          </w:tcPr>
          <w:p w:rsidR="0043170F" w:rsidRPr="00B065E7" w:rsidRDefault="0043170F" w:rsidP="006D7FFB">
            <w:pPr>
              <w:ind w:left="113" w:right="113"/>
              <w:jc w:val="center"/>
              <w:rPr>
                <w:b/>
                <w:bCs/>
                <w:szCs w:val="36"/>
              </w:rPr>
            </w:pPr>
            <w:r w:rsidRPr="00B065E7">
              <w:rPr>
                <w:rFonts w:hint="eastAsia"/>
                <w:b/>
                <w:bCs/>
                <w:szCs w:val="36"/>
              </w:rPr>
              <w:t>金融政策運営</w:t>
            </w:r>
          </w:p>
        </w:tc>
        <w:tc>
          <w:tcPr>
            <w:tcW w:w="564" w:type="dxa"/>
            <w:tcBorders>
              <w:top w:val="single" w:sz="12" w:space="0" w:color="auto"/>
              <w:left w:val="single" w:sz="4" w:space="0" w:color="auto"/>
              <w:bottom w:val="single" w:sz="4" w:space="0" w:color="auto"/>
              <w:right w:val="single" w:sz="4" w:space="0" w:color="auto"/>
            </w:tcBorders>
            <w:textDirection w:val="tbRlV"/>
            <w:vAlign w:val="center"/>
          </w:tcPr>
          <w:p w:rsidR="0043170F" w:rsidRPr="00B065E7" w:rsidRDefault="0043170F" w:rsidP="006D7FFB">
            <w:pPr>
              <w:ind w:left="113" w:right="113"/>
              <w:jc w:val="center"/>
              <w:rPr>
                <w:b/>
                <w:bCs/>
                <w:szCs w:val="36"/>
              </w:rPr>
            </w:pPr>
            <w:r w:rsidRPr="00B065E7">
              <w:rPr>
                <w:rFonts w:hint="eastAsia"/>
                <w:b/>
                <w:bCs/>
                <w:szCs w:val="36"/>
              </w:rPr>
              <w:t>実施面</w:t>
            </w:r>
          </w:p>
        </w:tc>
        <w:tc>
          <w:tcPr>
            <w:tcW w:w="4158" w:type="dxa"/>
            <w:tcBorders>
              <w:top w:val="single" w:sz="12" w:space="0" w:color="auto"/>
              <w:left w:val="single" w:sz="4" w:space="0" w:color="auto"/>
              <w:bottom w:val="single" w:sz="4" w:space="0" w:color="auto"/>
              <w:right w:val="single" w:sz="4" w:space="0" w:color="auto"/>
            </w:tcBorders>
          </w:tcPr>
          <w:p w:rsidR="0043170F" w:rsidRPr="00B065E7" w:rsidRDefault="0043170F" w:rsidP="006D7FFB">
            <w:pPr>
              <w:spacing w:line="360" w:lineRule="auto"/>
              <w:jc w:val="center"/>
              <w:rPr>
                <w:b/>
                <w:bCs/>
                <w:szCs w:val="36"/>
              </w:rPr>
            </w:pPr>
            <w:r w:rsidRPr="00B065E7">
              <w:rPr>
                <w:rFonts w:hint="eastAsia"/>
                <w:b/>
                <w:bCs/>
                <w:szCs w:val="36"/>
              </w:rPr>
              <w:t>戦術レベル</w:t>
            </w:r>
          </w:p>
          <w:p w:rsidR="0043170F" w:rsidRPr="004E520B" w:rsidRDefault="0043170F" w:rsidP="0043170F">
            <w:pPr>
              <w:pStyle w:val="a8"/>
              <w:numPr>
                <w:ilvl w:val="0"/>
                <w:numId w:val="3"/>
              </w:numPr>
              <w:ind w:leftChars="0"/>
              <w:rPr>
                <w:sz w:val="18"/>
                <w:szCs w:val="36"/>
              </w:rPr>
            </w:pPr>
            <w:r w:rsidRPr="004E520B">
              <w:rPr>
                <w:rFonts w:hint="eastAsia"/>
                <w:sz w:val="18"/>
                <w:szCs w:val="36"/>
              </w:rPr>
              <w:t>公開市場操作などを用いて</w:t>
            </w:r>
            <w:r>
              <w:rPr>
                <w:rFonts w:hint="eastAsia"/>
                <w:sz w:val="18"/>
                <w:szCs w:val="36"/>
              </w:rPr>
              <w:t>，</w:t>
            </w:r>
            <w:r w:rsidRPr="004E520B">
              <w:rPr>
                <w:rFonts w:hint="eastAsia"/>
                <w:sz w:val="18"/>
                <w:szCs w:val="36"/>
              </w:rPr>
              <w:t>短期金利を政策金利の水準に誘導させる</w:t>
            </w:r>
            <w:r>
              <w:rPr>
                <w:rFonts w:hint="eastAsia"/>
                <w:sz w:val="18"/>
                <w:szCs w:val="36"/>
              </w:rPr>
              <w:t>．</w:t>
            </w:r>
          </w:p>
          <w:p w:rsidR="0043170F" w:rsidRPr="004E520B" w:rsidRDefault="0043170F" w:rsidP="0043170F">
            <w:pPr>
              <w:pStyle w:val="a8"/>
              <w:numPr>
                <w:ilvl w:val="0"/>
                <w:numId w:val="3"/>
              </w:numPr>
              <w:ind w:leftChars="0"/>
              <w:rPr>
                <w:szCs w:val="36"/>
              </w:rPr>
            </w:pPr>
            <w:r w:rsidRPr="004E520B">
              <w:rPr>
                <w:rFonts w:hint="eastAsia"/>
                <w:sz w:val="18"/>
                <w:szCs w:val="36"/>
              </w:rPr>
              <w:t>短期金融市場</w:t>
            </w:r>
            <w:r>
              <w:rPr>
                <w:rFonts w:hint="eastAsia"/>
                <w:sz w:val="18"/>
                <w:szCs w:val="36"/>
              </w:rPr>
              <w:t>が対象．</w:t>
            </w:r>
          </w:p>
        </w:tc>
        <w:tc>
          <w:tcPr>
            <w:tcW w:w="4149" w:type="dxa"/>
            <w:tcBorders>
              <w:top w:val="single" w:sz="12" w:space="0" w:color="auto"/>
              <w:left w:val="single" w:sz="4" w:space="0" w:color="auto"/>
              <w:bottom w:val="single" w:sz="4" w:space="0" w:color="auto"/>
            </w:tcBorders>
          </w:tcPr>
          <w:p w:rsidR="0043170F" w:rsidRPr="00B065E7" w:rsidRDefault="0043170F" w:rsidP="006D7FFB">
            <w:pPr>
              <w:jc w:val="center"/>
              <w:rPr>
                <w:b/>
                <w:bCs/>
                <w:szCs w:val="36"/>
              </w:rPr>
            </w:pPr>
            <w:r w:rsidRPr="00B065E7">
              <w:rPr>
                <w:rFonts w:hint="eastAsia"/>
                <w:b/>
                <w:bCs/>
                <w:szCs w:val="36"/>
              </w:rPr>
              <w:t>戦略レベル</w:t>
            </w:r>
          </w:p>
          <w:p w:rsidR="0043170F" w:rsidRPr="004E520B" w:rsidRDefault="0043170F" w:rsidP="0043170F">
            <w:pPr>
              <w:pStyle w:val="a8"/>
              <w:numPr>
                <w:ilvl w:val="0"/>
                <w:numId w:val="4"/>
              </w:numPr>
              <w:ind w:leftChars="0"/>
              <w:rPr>
                <w:sz w:val="18"/>
                <w:szCs w:val="36"/>
              </w:rPr>
            </w:pPr>
            <w:r w:rsidRPr="004E520B">
              <w:rPr>
                <w:rFonts w:hint="eastAsia"/>
                <w:sz w:val="18"/>
                <w:szCs w:val="36"/>
              </w:rPr>
              <w:t>金融政策の目標を定める</w:t>
            </w:r>
            <w:r>
              <w:rPr>
                <w:rFonts w:hint="eastAsia"/>
                <w:sz w:val="18"/>
                <w:szCs w:val="36"/>
              </w:rPr>
              <w:t>．</w:t>
            </w:r>
          </w:p>
          <w:p w:rsidR="0043170F" w:rsidRPr="004E520B" w:rsidRDefault="0043170F" w:rsidP="0043170F">
            <w:pPr>
              <w:pStyle w:val="a8"/>
              <w:numPr>
                <w:ilvl w:val="0"/>
                <w:numId w:val="4"/>
              </w:numPr>
              <w:ind w:leftChars="0"/>
              <w:rPr>
                <w:sz w:val="18"/>
                <w:szCs w:val="36"/>
              </w:rPr>
            </w:pPr>
            <w:r w:rsidRPr="004E520B">
              <w:rPr>
                <w:rFonts w:hint="eastAsia"/>
                <w:sz w:val="18"/>
                <w:szCs w:val="36"/>
              </w:rPr>
              <w:t>金融政策の効果を検証する</w:t>
            </w:r>
            <w:r>
              <w:rPr>
                <w:rFonts w:hint="eastAsia"/>
                <w:sz w:val="18"/>
                <w:szCs w:val="36"/>
              </w:rPr>
              <w:t>．</w:t>
            </w:r>
          </w:p>
          <w:p w:rsidR="0043170F" w:rsidRPr="004E520B" w:rsidRDefault="0043170F" w:rsidP="0043170F">
            <w:pPr>
              <w:pStyle w:val="a8"/>
              <w:numPr>
                <w:ilvl w:val="0"/>
                <w:numId w:val="4"/>
              </w:numPr>
              <w:ind w:leftChars="0"/>
              <w:rPr>
                <w:szCs w:val="36"/>
              </w:rPr>
            </w:pPr>
            <w:r w:rsidRPr="004E520B">
              <w:rPr>
                <w:rFonts w:hint="eastAsia"/>
                <w:sz w:val="18"/>
                <w:szCs w:val="36"/>
              </w:rPr>
              <w:t>マクロ経済全体が対象</w:t>
            </w:r>
            <w:r>
              <w:rPr>
                <w:rFonts w:hint="eastAsia"/>
                <w:sz w:val="18"/>
                <w:szCs w:val="36"/>
              </w:rPr>
              <w:t>．</w:t>
            </w:r>
          </w:p>
        </w:tc>
      </w:tr>
      <w:tr w:rsidR="0043170F" w:rsidRPr="00ED6D61" w:rsidTr="0043170F">
        <w:trPr>
          <w:cantSplit/>
          <w:trHeight w:val="1407"/>
          <w:jc w:val="center"/>
        </w:trPr>
        <w:tc>
          <w:tcPr>
            <w:tcW w:w="564" w:type="dxa"/>
            <w:vMerge/>
            <w:tcBorders>
              <w:top w:val="nil"/>
              <w:bottom w:val="single" w:sz="4" w:space="0" w:color="auto"/>
              <w:right w:val="single" w:sz="4" w:space="0" w:color="auto"/>
            </w:tcBorders>
            <w:vAlign w:val="center"/>
          </w:tcPr>
          <w:p w:rsidR="0043170F" w:rsidRPr="00B065E7" w:rsidRDefault="0043170F" w:rsidP="006D7FFB">
            <w:pPr>
              <w:jc w:val="center"/>
              <w:rPr>
                <w:b/>
                <w:bCs/>
                <w:szCs w:val="36"/>
              </w:rPr>
            </w:pPr>
          </w:p>
        </w:tc>
        <w:tc>
          <w:tcPr>
            <w:tcW w:w="564" w:type="dxa"/>
            <w:tcBorders>
              <w:top w:val="single" w:sz="4" w:space="0" w:color="auto"/>
              <w:left w:val="single" w:sz="4" w:space="0" w:color="auto"/>
              <w:bottom w:val="single" w:sz="4" w:space="0" w:color="auto"/>
              <w:right w:val="single" w:sz="4" w:space="0" w:color="auto"/>
            </w:tcBorders>
            <w:textDirection w:val="tbRlV"/>
            <w:vAlign w:val="center"/>
          </w:tcPr>
          <w:p w:rsidR="0043170F" w:rsidRPr="00B065E7" w:rsidRDefault="0043170F" w:rsidP="006D7FFB">
            <w:pPr>
              <w:ind w:left="113" w:right="113"/>
              <w:jc w:val="center"/>
              <w:rPr>
                <w:szCs w:val="36"/>
              </w:rPr>
            </w:pPr>
            <w:r w:rsidRPr="00B065E7">
              <w:rPr>
                <w:rFonts w:hint="eastAsia"/>
                <w:b/>
                <w:bCs/>
                <w:szCs w:val="36"/>
              </w:rPr>
              <w:t>情報面</w:t>
            </w:r>
          </w:p>
        </w:tc>
        <w:tc>
          <w:tcPr>
            <w:tcW w:w="8307" w:type="dxa"/>
            <w:gridSpan w:val="2"/>
            <w:tcBorders>
              <w:top w:val="single" w:sz="4" w:space="0" w:color="auto"/>
              <w:left w:val="single" w:sz="4" w:space="0" w:color="auto"/>
              <w:bottom w:val="single" w:sz="4" w:space="0" w:color="auto"/>
            </w:tcBorders>
          </w:tcPr>
          <w:p w:rsidR="0043170F" w:rsidRPr="0043170F" w:rsidRDefault="0043170F" w:rsidP="0043170F">
            <w:pPr>
              <w:pStyle w:val="a8"/>
              <w:numPr>
                <w:ilvl w:val="0"/>
                <w:numId w:val="5"/>
              </w:numPr>
              <w:ind w:leftChars="0"/>
              <w:jc w:val="left"/>
              <w:rPr>
                <w:sz w:val="18"/>
                <w:szCs w:val="36"/>
              </w:rPr>
            </w:pPr>
            <w:r w:rsidRPr="0043170F">
              <w:rPr>
                <w:rFonts w:hint="eastAsia"/>
                <w:sz w:val="18"/>
                <w:szCs w:val="36"/>
              </w:rPr>
              <w:t>説明責任を果たし，金融政策の実効性を高め，ユーロシステムの金融政策の考え方や政策決定の理由などを広く伝える．</w:t>
            </w:r>
          </w:p>
          <w:p w:rsidR="0043170F" w:rsidRPr="00B065E7" w:rsidRDefault="0043170F" w:rsidP="0043170F">
            <w:pPr>
              <w:pStyle w:val="a8"/>
              <w:numPr>
                <w:ilvl w:val="0"/>
                <w:numId w:val="5"/>
              </w:numPr>
              <w:ind w:leftChars="0"/>
              <w:jc w:val="left"/>
              <w:rPr>
                <w:szCs w:val="36"/>
              </w:rPr>
            </w:pPr>
            <w:r w:rsidRPr="004E520B">
              <w:rPr>
                <w:rFonts w:hint="eastAsia"/>
                <w:sz w:val="18"/>
                <w:szCs w:val="36"/>
              </w:rPr>
              <w:t>戦術レベルの金融政策を補完するために</w:t>
            </w:r>
            <w:r>
              <w:rPr>
                <w:rFonts w:hint="eastAsia"/>
                <w:sz w:val="18"/>
                <w:szCs w:val="36"/>
              </w:rPr>
              <w:t>，</w:t>
            </w:r>
            <w:r w:rsidRPr="004E520B">
              <w:rPr>
                <w:rFonts w:hint="eastAsia"/>
                <w:sz w:val="18"/>
                <w:szCs w:val="36"/>
              </w:rPr>
              <w:t>口開市場操作</w:t>
            </w:r>
            <w:r w:rsidR="00DA1E3B">
              <w:rPr>
                <w:rFonts w:hint="eastAsia"/>
                <w:sz w:val="18"/>
                <w:szCs w:val="36"/>
              </w:rPr>
              <w:t>（</w:t>
            </w:r>
            <w:r w:rsidR="00DA1E3B">
              <w:rPr>
                <w:rFonts w:hint="eastAsia"/>
                <w:sz w:val="18"/>
                <w:szCs w:val="36"/>
              </w:rPr>
              <w:t>open mouth operations</w:t>
            </w:r>
            <w:r w:rsidR="00DA1E3B">
              <w:rPr>
                <w:rFonts w:hint="eastAsia"/>
                <w:sz w:val="18"/>
                <w:szCs w:val="36"/>
              </w:rPr>
              <w:t>）</w:t>
            </w:r>
            <w:r w:rsidRPr="004E520B">
              <w:rPr>
                <w:rFonts w:hint="eastAsia"/>
                <w:sz w:val="18"/>
                <w:szCs w:val="36"/>
              </w:rPr>
              <w:t>が機能するような環境を整備する</w:t>
            </w:r>
            <w:r>
              <w:rPr>
                <w:rFonts w:hint="eastAsia"/>
                <w:sz w:val="18"/>
                <w:szCs w:val="36"/>
              </w:rPr>
              <w:t>．</w:t>
            </w:r>
          </w:p>
        </w:tc>
      </w:tr>
      <w:tr w:rsidR="0043170F" w:rsidRPr="00ED6D61" w:rsidTr="0043170F">
        <w:trPr>
          <w:cantSplit/>
          <w:trHeight w:val="1124"/>
          <w:jc w:val="center"/>
        </w:trPr>
        <w:tc>
          <w:tcPr>
            <w:tcW w:w="1128" w:type="dxa"/>
            <w:gridSpan w:val="2"/>
            <w:tcBorders>
              <w:top w:val="single" w:sz="4" w:space="0" w:color="auto"/>
              <w:bottom w:val="single" w:sz="12" w:space="0" w:color="auto"/>
              <w:right w:val="single" w:sz="4" w:space="0" w:color="auto"/>
            </w:tcBorders>
            <w:textDirection w:val="tbRlV"/>
            <w:vAlign w:val="center"/>
          </w:tcPr>
          <w:p w:rsidR="0043170F" w:rsidRPr="00B065E7" w:rsidRDefault="0043170F" w:rsidP="006D7FFB">
            <w:pPr>
              <w:jc w:val="center"/>
              <w:rPr>
                <w:b/>
                <w:bCs/>
                <w:szCs w:val="36"/>
              </w:rPr>
            </w:pPr>
            <w:r w:rsidRPr="00B065E7">
              <w:rPr>
                <w:rFonts w:hint="eastAsia"/>
                <w:b/>
                <w:bCs/>
                <w:szCs w:val="36"/>
              </w:rPr>
              <w:t>金融システム運営</w:t>
            </w:r>
          </w:p>
        </w:tc>
        <w:tc>
          <w:tcPr>
            <w:tcW w:w="8307" w:type="dxa"/>
            <w:gridSpan w:val="2"/>
            <w:tcBorders>
              <w:top w:val="single" w:sz="4" w:space="0" w:color="auto"/>
              <w:left w:val="single" w:sz="4" w:space="0" w:color="auto"/>
            </w:tcBorders>
          </w:tcPr>
          <w:p w:rsidR="0043170F" w:rsidRPr="0031143B" w:rsidRDefault="0043170F" w:rsidP="0043170F">
            <w:pPr>
              <w:pStyle w:val="a8"/>
              <w:numPr>
                <w:ilvl w:val="0"/>
                <w:numId w:val="6"/>
              </w:numPr>
              <w:ind w:leftChars="0"/>
              <w:jc w:val="left"/>
              <w:rPr>
                <w:sz w:val="18"/>
                <w:szCs w:val="36"/>
              </w:rPr>
            </w:pPr>
            <w:r>
              <w:rPr>
                <w:rFonts w:hint="eastAsia"/>
                <w:sz w:val="18"/>
                <w:szCs w:val="36"/>
              </w:rPr>
              <w:t>プルーデンス政策，</w:t>
            </w:r>
            <w:r w:rsidRPr="0031143B">
              <w:rPr>
                <w:rFonts w:hint="eastAsia"/>
                <w:sz w:val="18"/>
                <w:szCs w:val="36"/>
              </w:rPr>
              <w:t>決済システム運営など金融システムを安全で効率的に運用</w:t>
            </w:r>
            <w:r>
              <w:rPr>
                <w:rFonts w:hint="eastAsia"/>
                <w:sz w:val="18"/>
                <w:szCs w:val="36"/>
              </w:rPr>
              <w:t>．</w:t>
            </w:r>
          </w:p>
          <w:p w:rsidR="0043170F" w:rsidRPr="00B065E7" w:rsidRDefault="0043170F" w:rsidP="0043170F">
            <w:pPr>
              <w:pStyle w:val="a8"/>
              <w:numPr>
                <w:ilvl w:val="0"/>
                <w:numId w:val="6"/>
              </w:numPr>
              <w:ind w:leftChars="0"/>
              <w:jc w:val="left"/>
              <w:rPr>
                <w:bCs/>
                <w:szCs w:val="36"/>
              </w:rPr>
            </w:pPr>
            <w:r w:rsidRPr="0031143B">
              <w:rPr>
                <w:rFonts w:hint="eastAsia"/>
                <w:sz w:val="18"/>
                <w:szCs w:val="36"/>
              </w:rPr>
              <w:t>経済危機が発生した際には</w:t>
            </w:r>
            <w:r>
              <w:rPr>
                <w:rFonts w:hint="eastAsia"/>
                <w:sz w:val="18"/>
                <w:szCs w:val="36"/>
              </w:rPr>
              <w:t>，</w:t>
            </w:r>
            <w:r w:rsidRPr="0031143B">
              <w:rPr>
                <w:rFonts w:hint="eastAsia"/>
                <w:sz w:val="18"/>
                <w:szCs w:val="36"/>
              </w:rPr>
              <w:t>短期金融市場に十分な</w:t>
            </w:r>
            <w:r>
              <w:rPr>
                <w:rFonts w:hint="eastAsia"/>
                <w:sz w:val="18"/>
                <w:szCs w:val="36"/>
              </w:rPr>
              <w:t>資金</w:t>
            </w:r>
            <w:r w:rsidRPr="0031143B">
              <w:rPr>
                <w:rFonts w:hint="eastAsia"/>
                <w:sz w:val="18"/>
                <w:szCs w:val="36"/>
              </w:rPr>
              <w:t>を供給し</w:t>
            </w:r>
            <w:r>
              <w:rPr>
                <w:rFonts w:hint="eastAsia"/>
                <w:sz w:val="18"/>
                <w:szCs w:val="36"/>
              </w:rPr>
              <w:t>，</w:t>
            </w:r>
            <w:r w:rsidRPr="0031143B">
              <w:rPr>
                <w:rFonts w:hint="eastAsia"/>
                <w:sz w:val="18"/>
                <w:szCs w:val="36"/>
              </w:rPr>
              <w:t>金融システムの安定性を確保する</w:t>
            </w:r>
            <w:r>
              <w:rPr>
                <w:rFonts w:hint="eastAsia"/>
                <w:sz w:val="18"/>
                <w:szCs w:val="36"/>
              </w:rPr>
              <w:t>．</w:t>
            </w:r>
          </w:p>
        </w:tc>
      </w:tr>
    </w:tbl>
    <w:p w:rsidR="0043170F" w:rsidRDefault="0043170F" w:rsidP="0043170F">
      <w:pPr>
        <w:rPr>
          <w:rFonts w:hint="eastAsia"/>
        </w:rPr>
      </w:pPr>
      <w:r>
        <w:rPr>
          <w:rFonts w:hint="eastAsia"/>
        </w:rPr>
        <w:t>（出所）川野（</w:t>
      </w:r>
      <w:r>
        <w:rPr>
          <w:rFonts w:hint="eastAsia"/>
        </w:rPr>
        <w:t>2010</w:t>
      </w:r>
      <w:r>
        <w:rPr>
          <w:rFonts w:hint="eastAsia"/>
        </w:rPr>
        <w:t>）</w:t>
      </w:r>
      <w:r>
        <w:rPr>
          <w:rFonts w:hint="eastAsia"/>
        </w:rPr>
        <w:t>p.126</w:t>
      </w:r>
      <w:r>
        <w:rPr>
          <w:rFonts w:hint="eastAsia"/>
        </w:rPr>
        <w:t>を修正．</w:t>
      </w:r>
    </w:p>
    <w:p w:rsidR="0043170F" w:rsidRDefault="0043170F" w:rsidP="0043170F">
      <w:pPr>
        <w:rPr>
          <w:rFonts w:hint="eastAsia"/>
        </w:rPr>
      </w:pPr>
    </w:p>
    <w:p w:rsidR="00DA1E3B" w:rsidRDefault="00DA1E3B" w:rsidP="00DA1E3B">
      <w:pPr>
        <w:pStyle w:val="a8"/>
        <w:numPr>
          <w:ilvl w:val="0"/>
          <w:numId w:val="2"/>
        </w:numPr>
        <w:ind w:leftChars="0"/>
        <w:rPr>
          <w:rFonts w:hint="eastAsia"/>
        </w:rPr>
      </w:pPr>
      <w:r>
        <w:rPr>
          <w:rFonts w:hint="eastAsia"/>
        </w:rPr>
        <w:t>金融システム運営の重要性</w:t>
      </w:r>
    </w:p>
    <w:p w:rsidR="00705745" w:rsidRDefault="00705745" w:rsidP="00705745">
      <w:r>
        <w:rPr>
          <w:rFonts w:hint="eastAsia"/>
        </w:rPr>
        <w:t>川野（</w:t>
      </w:r>
      <w:r>
        <w:rPr>
          <w:rFonts w:hint="eastAsia"/>
        </w:rPr>
        <w:t>2009</w:t>
      </w:r>
      <w:r>
        <w:rPr>
          <w:rFonts w:hint="eastAsia"/>
        </w:rPr>
        <w:t>）：通常の金融政策と金融危機時の政策を分けて考える必要がある．</w:t>
      </w:r>
    </w:p>
    <w:p w:rsidR="00705745" w:rsidRDefault="00705745" w:rsidP="00705745">
      <w:r>
        <w:rPr>
          <w:rFonts w:hint="eastAsia"/>
        </w:rPr>
        <w:t>Goodfriend</w:t>
      </w:r>
      <w:r>
        <w:rPr>
          <w:rFonts w:hint="eastAsia"/>
        </w:rPr>
        <w:t>（</w:t>
      </w:r>
      <w:r>
        <w:rPr>
          <w:rFonts w:hint="eastAsia"/>
        </w:rPr>
        <w:t>2009</w:t>
      </w:r>
      <w:r>
        <w:rPr>
          <w:rFonts w:hint="eastAsia"/>
        </w:rPr>
        <w:t>）：金融政策を金融政策（</w:t>
      </w:r>
      <w:r>
        <w:rPr>
          <w:rFonts w:hint="eastAsia"/>
        </w:rPr>
        <w:t>monetary policy</w:t>
      </w:r>
      <w:r>
        <w:rPr>
          <w:rFonts w:hint="eastAsia"/>
        </w:rPr>
        <w:t>），貸出政策（</w:t>
      </w:r>
      <w:r>
        <w:rPr>
          <w:rFonts w:hint="eastAsia"/>
        </w:rPr>
        <w:t>credit policy</w:t>
      </w:r>
      <w:r>
        <w:rPr>
          <w:rFonts w:hint="eastAsia"/>
        </w:rPr>
        <w:t>），金利政策（</w:t>
      </w:r>
      <w:r>
        <w:rPr>
          <w:rFonts w:hint="eastAsia"/>
        </w:rPr>
        <w:t>interest rate policy</w:t>
      </w:r>
      <w:r>
        <w:rPr>
          <w:rFonts w:hint="eastAsia"/>
        </w:rPr>
        <w:t>）の</w:t>
      </w:r>
      <w:r>
        <w:rPr>
          <w:rFonts w:hint="eastAsia"/>
        </w:rPr>
        <w:t>3</w:t>
      </w:r>
      <w:r>
        <w:rPr>
          <w:rFonts w:hint="eastAsia"/>
        </w:rPr>
        <w:t>つに分けて考える．</w:t>
      </w:r>
    </w:p>
    <w:p w:rsidR="00705745" w:rsidRDefault="00705745" w:rsidP="00705745">
      <w:r>
        <w:rPr>
          <w:rFonts w:hint="eastAsia"/>
        </w:rPr>
        <w:t>ECB</w:t>
      </w:r>
      <w:r>
        <w:rPr>
          <w:rFonts w:hint="eastAsia"/>
        </w:rPr>
        <w:t>（</w:t>
      </w:r>
      <w:r>
        <w:rPr>
          <w:rFonts w:hint="eastAsia"/>
        </w:rPr>
        <w:t>2010</w:t>
      </w:r>
      <w:r>
        <w:rPr>
          <w:rFonts w:hint="eastAsia"/>
        </w:rPr>
        <w:t>）：</w:t>
      </w:r>
      <w:r w:rsidRPr="00AE35BF">
        <w:t>normal circumstances</w:t>
      </w:r>
      <w:r>
        <w:rPr>
          <w:rFonts w:hint="eastAsia"/>
        </w:rPr>
        <w:t>と</w:t>
      </w:r>
      <w:r>
        <w:t>exceptional circumstance</w:t>
      </w:r>
      <w:r>
        <w:rPr>
          <w:rFonts w:hint="eastAsia"/>
        </w:rPr>
        <w:t>s</w:t>
      </w:r>
      <w:r>
        <w:rPr>
          <w:rFonts w:hint="eastAsia"/>
        </w:rPr>
        <w:t>とで用いる政策は異なる．</w:t>
      </w:r>
    </w:p>
    <w:p w:rsidR="00705745" w:rsidRDefault="00705745" w:rsidP="0043170F">
      <w:pPr>
        <w:rPr>
          <w:rFonts w:hint="eastAsia"/>
        </w:rPr>
      </w:pPr>
    </w:p>
    <w:p w:rsidR="0043170F" w:rsidRDefault="0043170F" w:rsidP="0043170F">
      <w:pPr>
        <w:rPr>
          <w:rFonts w:hint="eastAsia"/>
        </w:rPr>
      </w:pPr>
      <w:r>
        <w:rPr>
          <w:rFonts w:hint="eastAsia"/>
        </w:rPr>
        <w:t xml:space="preserve">　→</w:t>
      </w:r>
      <w:r w:rsidR="00705745">
        <w:rPr>
          <w:rFonts w:hint="eastAsia"/>
        </w:rPr>
        <w:t>通常時の金融政策は金融政策運営が中心となるが，金融危機が発生すると金融システム運営の政策が中心になる．どのような手段が流動性の効率的な供給に有効なのか，一致した見解はない．</w:t>
      </w:r>
    </w:p>
    <w:p w:rsidR="0043170F" w:rsidRDefault="0043170F" w:rsidP="0043170F">
      <w:pPr>
        <w:rPr>
          <w:rFonts w:hint="eastAsia"/>
        </w:rPr>
      </w:pPr>
    </w:p>
    <w:p w:rsidR="005F102E" w:rsidRDefault="005F102E" w:rsidP="005F102E">
      <w:pPr>
        <w:ind w:firstLineChars="100" w:firstLine="241"/>
      </w:pPr>
      <w:r>
        <w:rPr>
          <w:rFonts w:hint="eastAsia"/>
        </w:rPr>
        <w:t>→　十分な流動性を確保するために，超低金利状態</w:t>
      </w:r>
      <w:r w:rsidR="00635A76">
        <w:rPr>
          <w:rFonts w:hint="eastAsia"/>
        </w:rPr>
        <w:t>にする必要はあるのか</w:t>
      </w:r>
      <w:r>
        <w:rPr>
          <w:rFonts w:hint="eastAsia"/>
        </w:rPr>
        <w:t>．</w:t>
      </w:r>
    </w:p>
    <w:p w:rsidR="0043170F" w:rsidRDefault="006834FC" w:rsidP="0043170F">
      <w:r>
        <w:rPr>
          <w:rFonts w:hint="eastAsia"/>
        </w:rPr>
        <w:t xml:space="preserve">　→　危機時の政策はどの程度の期間続けるべきか．</w:t>
      </w:r>
    </w:p>
    <w:p w:rsidR="00AE35BF" w:rsidRDefault="00AE35BF"/>
    <w:p w:rsidR="00880290" w:rsidRDefault="00880290"/>
    <w:p w:rsidR="00880290" w:rsidRPr="00F8783A" w:rsidRDefault="00880290">
      <w:pPr>
        <w:rPr>
          <w:b/>
        </w:rPr>
      </w:pPr>
      <w:r w:rsidRPr="00F8783A">
        <w:rPr>
          <w:rFonts w:hint="eastAsia"/>
          <w:b/>
          <w:sz w:val="24"/>
        </w:rPr>
        <w:t>４．むすび</w:t>
      </w:r>
    </w:p>
    <w:p w:rsidR="00880290" w:rsidRDefault="00880290">
      <w:pPr>
        <w:rPr>
          <w:rFonts w:hint="eastAsia"/>
        </w:rPr>
      </w:pPr>
    </w:p>
    <w:p w:rsidR="005F102E" w:rsidRDefault="005F102E">
      <w:r>
        <w:rPr>
          <w:rFonts w:hint="eastAsia"/>
        </w:rPr>
        <w:t xml:space="preserve">　ユーロ地域の</w:t>
      </w:r>
      <w:r w:rsidR="00705745">
        <w:rPr>
          <w:rFonts w:hint="eastAsia"/>
        </w:rPr>
        <w:t>波及経路の研究，経済モデルの精緻化を図る．可能であれば，</w:t>
      </w:r>
      <w:r>
        <w:rPr>
          <w:rFonts w:hint="eastAsia"/>
        </w:rPr>
        <w:t>安易な</w:t>
      </w:r>
      <w:r w:rsidR="00705745">
        <w:rPr>
          <w:rFonts w:hint="eastAsia"/>
        </w:rPr>
        <w:t>ユーロ地域の</w:t>
      </w:r>
      <w:r>
        <w:rPr>
          <w:rFonts w:hint="eastAsia"/>
        </w:rPr>
        <w:t>拡大を防ぐ．</w:t>
      </w:r>
      <w:r w:rsidR="00705745">
        <w:rPr>
          <w:rFonts w:hint="eastAsia"/>
        </w:rPr>
        <w:t>その一方で，ユーロシステムが，ユーロ地域の経済構造や経済政策に与える影響は大きくはない</w:t>
      </w:r>
      <w:r w:rsidR="00DA1E3B">
        <w:rPr>
          <w:rFonts w:hint="eastAsia"/>
        </w:rPr>
        <w:t>ことも認識すべき</w:t>
      </w:r>
      <w:r w:rsidR="00705745">
        <w:rPr>
          <w:rFonts w:hint="eastAsia"/>
        </w:rPr>
        <w:t>．</w:t>
      </w:r>
    </w:p>
    <w:p w:rsidR="00FF106C" w:rsidRDefault="00FF106C">
      <w:pPr>
        <w:rPr>
          <w:rFonts w:hint="eastAsia"/>
        </w:rPr>
      </w:pPr>
      <w:r>
        <w:rPr>
          <w:rFonts w:hint="eastAsia"/>
        </w:rPr>
        <w:t xml:space="preserve">　新しい金融政策の枠組みの構築</w:t>
      </w:r>
      <w:r w:rsidR="005F102E">
        <w:rPr>
          <w:rFonts w:hint="eastAsia"/>
        </w:rPr>
        <w:t>：通常の政策と危機時の政策との分類・理解</w:t>
      </w:r>
      <w:r w:rsidR="00DA1E3B">
        <w:rPr>
          <w:rFonts w:hint="eastAsia"/>
        </w:rPr>
        <w:t>．</w:t>
      </w:r>
    </w:p>
    <w:p w:rsidR="005F102E" w:rsidRDefault="005F102E"/>
    <w:p w:rsidR="009E7E26" w:rsidRDefault="00FF106C" w:rsidP="00FF106C">
      <w:pPr>
        <w:ind w:firstLineChars="100" w:firstLine="241"/>
      </w:pPr>
      <w:r>
        <w:rPr>
          <w:rFonts w:hint="eastAsia"/>
        </w:rPr>
        <w:t xml:space="preserve">→基本的な経済モデルの修正　</w:t>
      </w:r>
      <w:r>
        <w:rPr>
          <w:rFonts w:hint="eastAsia"/>
        </w:rPr>
        <w:t>Ex.</w:t>
      </w:r>
      <w:r>
        <w:rPr>
          <w:rFonts w:hint="eastAsia"/>
        </w:rPr>
        <w:t>テイラールールの再考</w:t>
      </w:r>
      <w:r w:rsidR="008612E2">
        <w:rPr>
          <w:rFonts w:hint="eastAsia"/>
        </w:rPr>
        <w:t>，マクロ経済学の再構築</w:t>
      </w:r>
      <w:r>
        <w:rPr>
          <w:rFonts w:hint="eastAsia"/>
        </w:rPr>
        <w:t>など</w:t>
      </w:r>
    </w:p>
    <w:p w:rsidR="00D7235B" w:rsidRDefault="00D7235B">
      <w:pPr>
        <w:rPr>
          <w:rFonts w:hint="eastAsia"/>
        </w:rPr>
      </w:pPr>
    </w:p>
    <w:p w:rsidR="005F102E" w:rsidRPr="00FF106C" w:rsidRDefault="005F102E"/>
    <w:p w:rsidR="009E7E26" w:rsidRDefault="009E7E26"/>
    <w:p w:rsidR="003E4CA7" w:rsidRPr="00F8783A" w:rsidRDefault="003E4CA7">
      <w:pPr>
        <w:rPr>
          <w:b/>
        </w:rPr>
      </w:pPr>
      <w:r w:rsidRPr="00F8783A">
        <w:rPr>
          <w:rFonts w:hint="eastAsia"/>
          <w:b/>
          <w:sz w:val="24"/>
        </w:rPr>
        <w:t>付論</w:t>
      </w:r>
      <w:r w:rsidR="000F730B" w:rsidRPr="00F8783A">
        <w:rPr>
          <w:rFonts w:hint="eastAsia"/>
          <w:b/>
          <w:sz w:val="24"/>
        </w:rPr>
        <w:t>．</w:t>
      </w:r>
      <w:r w:rsidR="00925893" w:rsidRPr="00F8783A">
        <w:rPr>
          <w:rFonts w:hint="eastAsia"/>
          <w:b/>
          <w:sz w:val="24"/>
        </w:rPr>
        <w:t>データについて</w:t>
      </w:r>
    </w:p>
    <w:p w:rsidR="003E4CA7" w:rsidRDefault="003E4CA7"/>
    <w:p w:rsidR="003E4CA7" w:rsidRDefault="000F730B" w:rsidP="000F730B">
      <w:r>
        <w:rPr>
          <w:rFonts w:hint="eastAsia"/>
        </w:rPr>
        <w:t xml:space="preserve">　</w:t>
      </w:r>
      <w:r w:rsidR="003E4CA7">
        <w:rPr>
          <w:rFonts w:hint="eastAsia"/>
        </w:rPr>
        <w:t>図表</w:t>
      </w:r>
      <w:r>
        <w:rPr>
          <w:rFonts w:hint="eastAsia"/>
        </w:rPr>
        <w:t>4</w:t>
      </w:r>
      <w:r w:rsidR="003E4CA7">
        <w:rPr>
          <w:rFonts w:hint="eastAsia"/>
        </w:rPr>
        <w:t>のデータは</w:t>
      </w:r>
      <w:r w:rsidR="003E4CA7">
        <w:rPr>
          <w:rFonts w:hint="eastAsia"/>
        </w:rPr>
        <w:t>Eurostat</w:t>
      </w:r>
      <w:r w:rsidR="003E4CA7">
        <w:rPr>
          <w:rFonts w:hint="eastAsia"/>
        </w:rPr>
        <w:t>より．標準的な</w:t>
      </w:r>
      <w:r w:rsidR="003E4CA7">
        <w:rPr>
          <w:rFonts w:hint="eastAsia"/>
        </w:rPr>
        <w:t>VAR</w:t>
      </w:r>
      <w:r w:rsidR="003E4CA7">
        <w:rPr>
          <w:rFonts w:hint="eastAsia"/>
        </w:rPr>
        <w:t>モデルによる推定を行い，インパルス反応を</w:t>
      </w:r>
      <w:r w:rsidR="00DA1E3B">
        <w:rPr>
          <w:rFonts w:hint="eastAsia"/>
        </w:rPr>
        <w:t>まとめた</w:t>
      </w:r>
      <w:r w:rsidR="003E4CA7">
        <w:rPr>
          <w:rFonts w:hint="eastAsia"/>
        </w:rPr>
        <w:t>．モデルの推定に</w:t>
      </w:r>
      <w:r w:rsidR="00DA1E3B">
        <w:rPr>
          <w:rFonts w:hint="eastAsia"/>
        </w:rPr>
        <w:t>先立って</w:t>
      </w:r>
      <w:r w:rsidR="003E4CA7">
        <w:rPr>
          <w:rFonts w:hint="eastAsia"/>
        </w:rPr>
        <w:t>，</w:t>
      </w:r>
      <w:r w:rsidR="003E4CA7">
        <w:rPr>
          <w:rFonts w:hint="eastAsia"/>
        </w:rPr>
        <w:t>ADF</w:t>
      </w:r>
      <w:r w:rsidR="003E4CA7">
        <w:rPr>
          <w:rFonts w:hint="eastAsia"/>
        </w:rPr>
        <w:t>検定により</w:t>
      </w:r>
      <w:r w:rsidR="003E4CA7" w:rsidRPr="000F730B">
        <w:rPr>
          <w:rFonts w:hint="eastAsia"/>
          <w:i/>
        </w:rPr>
        <w:t>I</w:t>
      </w:r>
      <w:r w:rsidR="003E4CA7">
        <w:rPr>
          <w:rFonts w:hint="eastAsia"/>
        </w:rPr>
        <w:t>（</w:t>
      </w:r>
      <w:r w:rsidR="003E4CA7">
        <w:rPr>
          <w:rFonts w:hint="eastAsia"/>
        </w:rPr>
        <w:t>1</w:t>
      </w:r>
      <w:r w:rsidR="003E4CA7">
        <w:rPr>
          <w:rFonts w:hint="eastAsia"/>
        </w:rPr>
        <w:t>）と判定された変数については階差をとった．</w:t>
      </w:r>
      <w:r w:rsidR="00AE370F">
        <w:rPr>
          <w:rFonts w:hint="eastAsia"/>
        </w:rPr>
        <w:t>推定される</w:t>
      </w:r>
      <w:r w:rsidR="00AE370F">
        <w:rPr>
          <w:rFonts w:hint="eastAsia"/>
        </w:rPr>
        <w:t>VAR</w:t>
      </w:r>
      <w:r w:rsidR="00AE370F">
        <w:rPr>
          <w:rFonts w:hint="eastAsia"/>
        </w:rPr>
        <w:t>は，</w:t>
      </w:r>
    </w:p>
    <w:p w:rsidR="00AE370F" w:rsidRDefault="00DA1E3B">
      <w:r w:rsidRPr="00AE370F">
        <w:rPr>
          <w:position w:val="-10"/>
        </w:rPr>
        <w:object w:dxaOrig="1860" w:dyaOrig="320">
          <v:shape id="_x0000_i1025" type="#_x0000_t75" style="width:93pt;height:15.75pt" o:ole="">
            <v:imagedata r:id="rId10" o:title=""/>
          </v:shape>
          <o:OLEObject Type="Embed" ProgID="Equation.3" ShapeID="_x0000_i1025" DrawAspect="Content" ObjectID="_1338033966" r:id="rId11"/>
        </w:object>
      </w:r>
    </w:p>
    <w:p w:rsidR="003E4CA7" w:rsidRDefault="00AE370F">
      <w:r>
        <w:rPr>
          <w:rFonts w:hint="eastAsia"/>
        </w:rPr>
        <w:t>であり，</w:t>
      </w:r>
      <w:r w:rsidR="000F730B" w:rsidRPr="000F730B">
        <w:rPr>
          <w:rFonts w:hint="eastAsia"/>
          <w:i/>
        </w:rPr>
        <w:t>A</w:t>
      </w:r>
      <w:r w:rsidR="000F730B">
        <w:rPr>
          <w:rFonts w:hint="eastAsia"/>
        </w:rPr>
        <w:t>（・）は係数行列</w:t>
      </w:r>
      <w:r w:rsidR="00DA1E3B">
        <w:rPr>
          <w:rFonts w:hint="eastAsia"/>
        </w:rPr>
        <w:t>，</w:t>
      </w:r>
      <w:r w:rsidR="00DA1E3B" w:rsidRPr="00DA1E3B">
        <w:rPr>
          <w:rFonts w:hint="eastAsia"/>
          <w:i/>
        </w:rPr>
        <w:t>C</w:t>
      </w:r>
      <w:r w:rsidR="00DA1E3B">
        <w:rPr>
          <w:rFonts w:hint="eastAsia"/>
        </w:rPr>
        <w:t>は</w:t>
      </w:r>
      <w:r w:rsidR="000F730B">
        <w:rPr>
          <w:rFonts w:hint="eastAsia"/>
        </w:rPr>
        <w:t>定数項，</w:t>
      </w:r>
      <w:r w:rsidR="000F730B" w:rsidRPr="000F730B">
        <w:rPr>
          <w:rFonts w:hint="eastAsia"/>
          <w:i/>
        </w:rPr>
        <w:t>L</w:t>
      </w:r>
      <w:r w:rsidR="000F730B">
        <w:rPr>
          <w:rFonts w:hint="eastAsia"/>
        </w:rPr>
        <w:t>はラグオペレータである．</w:t>
      </w:r>
      <w:r>
        <w:rPr>
          <w:rFonts w:hint="eastAsia"/>
        </w:rPr>
        <w:t>内生変数群</w:t>
      </w:r>
      <w:r w:rsidR="000F730B" w:rsidRPr="000F730B">
        <w:rPr>
          <w:rFonts w:hint="eastAsia"/>
          <w:i/>
        </w:rPr>
        <w:t>Y</w:t>
      </w:r>
      <w:r>
        <w:rPr>
          <w:rFonts w:hint="eastAsia"/>
        </w:rPr>
        <w:t>はコレスキー分解</w:t>
      </w:r>
      <w:r w:rsidR="00DA1E3B">
        <w:rPr>
          <w:rFonts w:hint="eastAsia"/>
        </w:rPr>
        <w:t>に際しての</w:t>
      </w:r>
      <w:r>
        <w:rPr>
          <w:rFonts w:hint="eastAsia"/>
        </w:rPr>
        <w:t>変数</w:t>
      </w:r>
      <w:r w:rsidR="00DA1E3B">
        <w:rPr>
          <w:rFonts w:hint="eastAsia"/>
        </w:rPr>
        <w:t>の並び</w:t>
      </w:r>
      <w:r>
        <w:rPr>
          <w:rFonts w:hint="eastAsia"/>
        </w:rPr>
        <w:t>順に短期金利</w:t>
      </w:r>
      <w:r w:rsidR="00FF106C">
        <w:rPr>
          <w:rFonts w:hint="eastAsia"/>
        </w:rPr>
        <w:t>（</w:t>
      </w:r>
      <w:r w:rsidR="00FF106C">
        <w:rPr>
          <w:rFonts w:hint="eastAsia"/>
        </w:rPr>
        <w:t>3</w:t>
      </w:r>
      <w:r w:rsidR="00FF106C">
        <w:rPr>
          <w:rFonts w:hint="eastAsia"/>
        </w:rPr>
        <w:t>カ月物のマネーマーケット金利</w:t>
      </w:r>
      <w:r w:rsidR="00FF106C">
        <w:rPr>
          <w:rStyle w:val="ad"/>
        </w:rPr>
        <w:footnoteReference w:id="1"/>
      </w:r>
      <w:r w:rsidR="00FF106C">
        <w:rPr>
          <w:rFonts w:hint="eastAsia"/>
        </w:rPr>
        <w:t>）</w:t>
      </w:r>
      <w:r>
        <w:rPr>
          <w:rFonts w:hint="eastAsia"/>
        </w:rPr>
        <w:t>，統合消費者物価指数（</w:t>
      </w:r>
      <w:r>
        <w:rPr>
          <w:rFonts w:hint="eastAsia"/>
        </w:rPr>
        <w:t>HICP</w:t>
      </w:r>
      <w:r>
        <w:rPr>
          <w:rFonts w:hint="eastAsia"/>
        </w:rPr>
        <w:t>），</w:t>
      </w:r>
      <w:r>
        <w:rPr>
          <w:rFonts w:hint="eastAsia"/>
        </w:rPr>
        <w:t>GDP</w:t>
      </w:r>
      <w:r>
        <w:rPr>
          <w:rFonts w:hint="eastAsia"/>
        </w:rPr>
        <w:t>である．</w:t>
      </w:r>
      <w:r>
        <w:rPr>
          <w:rFonts w:hint="eastAsia"/>
        </w:rPr>
        <w:t>HICP</w:t>
      </w:r>
      <w:r>
        <w:rPr>
          <w:rFonts w:hint="eastAsia"/>
        </w:rPr>
        <w:t>と</w:t>
      </w:r>
      <w:r>
        <w:rPr>
          <w:rFonts w:hint="eastAsia"/>
        </w:rPr>
        <w:t>GDP</w:t>
      </w:r>
      <w:r>
        <w:rPr>
          <w:rFonts w:hint="eastAsia"/>
        </w:rPr>
        <w:t>は対数値を用いた．</w:t>
      </w:r>
      <w:r w:rsidR="000F730B">
        <w:rPr>
          <w:rFonts w:hint="eastAsia"/>
        </w:rPr>
        <w:t>モデルのラグオペレータについては，</w:t>
      </w:r>
      <w:r w:rsidR="000F730B">
        <w:rPr>
          <w:rFonts w:hint="eastAsia"/>
        </w:rPr>
        <w:t>SC</w:t>
      </w:r>
      <w:r w:rsidR="000F730B">
        <w:rPr>
          <w:rFonts w:hint="eastAsia"/>
        </w:rPr>
        <w:t>基準を採用したが，</w:t>
      </w:r>
      <w:r w:rsidR="000F730B">
        <w:rPr>
          <w:rFonts w:hint="eastAsia"/>
        </w:rPr>
        <w:t>SC</w:t>
      </w:r>
      <w:r w:rsidR="000F730B">
        <w:rPr>
          <w:rFonts w:hint="eastAsia"/>
        </w:rPr>
        <w:t>値が</w:t>
      </w:r>
      <w:r w:rsidR="000F730B">
        <w:rPr>
          <w:rFonts w:hint="eastAsia"/>
        </w:rPr>
        <w:t>1</w:t>
      </w:r>
      <w:r w:rsidR="000F730B">
        <w:rPr>
          <w:rFonts w:hint="eastAsia"/>
        </w:rPr>
        <w:t>次以下を示した時には</w:t>
      </w:r>
      <w:r w:rsidR="000F730B">
        <w:rPr>
          <w:rFonts w:hint="eastAsia"/>
        </w:rPr>
        <w:t>2</w:t>
      </w:r>
      <w:r w:rsidR="000F730B">
        <w:rPr>
          <w:rFonts w:hint="eastAsia"/>
        </w:rPr>
        <w:t>次のラグをとることにした．</w:t>
      </w:r>
    </w:p>
    <w:p w:rsidR="003E4CA7" w:rsidRDefault="00FF106C">
      <w:r>
        <w:rPr>
          <w:rFonts w:hint="eastAsia"/>
        </w:rPr>
        <w:t xml:space="preserve">　図表</w:t>
      </w:r>
      <w:r w:rsidR="00925893">
        <w:rPr>
          <w:rFonts w:hint="eastAsia"/>
        </w:rPr>
        <w:t>4</w:t>
      </w:r>
      <w:r>
        <w:rPr>
          <w:rFonts w:hint="eastAsia"/>
        </w:rPr>
        <w:t>の数値は，</w:t>
      </w:r>
      <w:r w:rsidR="00DA1E3B">
        <w:rPr>
          <w:rFonts w:hint="eastAsia"/>
        </w:rPr>
        <w:t>10</w:t>
      </w:r>
      <w:r w:rsidR="00DA1E3B">
        <w:rPr>
          <w:rFonts w:hint="eastAsia"/>
        </w:rPr>
        <w:t>期先までの</w:t>
      </w:r>
      <w:r>
        <w:rPr>
          <w:rFonts w:hint="eastAsia"/>
        </w:rPr>
        <w:t>インパルス</w:t>
      </w:r>
      <w:r w:rsidR="00DA1E3B">
        <w:rPr>
          <w:rFonts w:hint="eastAsia"/>
        </w:rPr>
        <w:t>について</w:t>
      </w:r>
      <w:r>
        <w:rPr>
          <w:rFonts w:hint="eastAsia"/>
        </w:rPr>
        <w:t>，（当該国の数値－ユーロ</w:t>
      </w:r>
      <w:r w:rsidR="00925893">
        <w:rPr>
          <w:rFonts w:hint="eastAsia"/>
        </w:rPr>
        <w:t>地域</w:t>
      </w:r>
      <w:r>
        <w:rPr>
          <w:rFonts w:hint="eastAsia"/>
        </w:rPr>
        <w:t>全体の数値）／標準偏差，の平均値．数値の絶対値が</w:t>
      </w:r>
      <w:r>
        <w:rPr>
          <w:rFonts w:hint="eastAsia"/>
        </w:rPr>
        <w:t>1</w:t>
      </w:r>
      <w:r>
        <w:rPr>
          <w:rFonts w:hint="eastAsia"/>
        </w:rPr>
        <w:t>よりも大きければ</w:t>
      </w:r>
      <w:r w:rsidR="00925893">
        <w:rPr>
          <w:rFonts w:hint="eastAsia"/>
        </w:rPr>
        <w:t>インパルスがユーロ地域よりも大きく外れていることになる．</w:t>
      </w:r>
    </w:p>
    <w:p w:rsidR="000F730B" w:rsidRDefault="000F730B">
      <w:r>
        <w:rPr>
          <w:rFonts w:hint="eastAsia"/>
        </w:rPr>
        <w:t xml:space="preserve">　図表</w:t>
      </w:r>
      <w:r>
        <w:rPr>
          <w:rFonts w:hint="eastAsia"/>
        </w:rPr>
        <w:t>5</w:t>
      </w:r>
      <w:r>
        <w:rPr>
          <w:rFonts w:hint="eastAsia"/>
        </w:rPr>
        <w:t>のデータは</w:t>
      </w:r>
      <w:r>
        <w:rPr>
          <w:rFonts w:hint="eastAsia"/>
        </w:rPr>
        <w:t>Eurostat</w:t>
      </w:r>
      <w:r>
        <w:rPr>
          <w:rFonts w:hint="eastAsia"/>
        </w:rPr>
        <w:t>より．各国の長期金利の四半期データ．</w:t>
      </w:r>
      <w:r>
        <w:rPr>
          <w:rFonts w:hint="eastAsia"/>
        </w:rPr>
        <w:t>T</w:t>
      </w:r>
      <w:r>
        <w:rPr>
          <w:rFonts w:hint="eastAsia"/>
        </w:rPr>
        <w:t>時点がユーロ参加時になるように調整してある．各国の長期金利とドイツの長期金利の差をプロットし，グループごとの平均を取った．</w:t>
      </w:r>
    </w:p>
    <w:p w:rsidR="003E4CA7" w:rsidRDefault="003E4CA7"/>
    <w:p w:rsidR="009E7E26" w:rsidRDefault="009E7E26"/>
    <w:p w:rsidR="00071827" w:rsidRDefault="00071827">
      <w:r>
        <w:rPr>
          <w:rFonts w:hint="eastAsia"/>
        </w:rPr>
        <w:t>参考文献</w:t>
      </w:r>
    </w:p>
    <w:p w:rsidR="00642F76" w:rsidRDefault="00642F76" w:rsidP="00642F76"/>
    <w:p w:rsidR="00642F76" w:rsidRDefault="00642F76" w:rsidP="00642F76">
      <w:pPr>
        <w:ind w:left="1205" w:hangingChars="500" w:hanging="1205"/>
      </w:pPr>
      <w:r>
        <w:rPr>
          <w:rFonts w:hint="eastAsia"/>
        </w:rPr>
        <w:t>川野祐司（</w:t>
      </w:r>
      <w:r>
        <w:rPr>
          <w:rFonts w:hint="eastAsia"/>
        </w:rPr>
        <w:t>2003</w:t>
      </w:r>
      <w:r>
        <w:rPr>
          <w:rFonts w:hint="eastAsia"/>
        </w:rPr>
        <w:t>）「</w:t>
      </w:r>
      <w:r w:rsidRPr="00642F76">
        <w:rPr>
          <w:rFonts w:hint="eastAsia"/>
        </w:rPr>
        <w:t>ユーロエリアにおける金利の期間構造</w:t>
      </w:r>
      <w:r>
        <w:rPr>
          <w:rFonts w:hint="eastAsia"/>
        </w:rPr>
        <w:t>」</w:t>
      </w:r>
      <w:r w:rsidRPr="00642F76">
        <w:rPr>
          <w:rFonts w:hint="eastAsia"/>
        </w:rPr>
        <w:t>『日本</w:t>
      </w:r>
      <w:r w:rsidRPr="00642F76">
        <w:rPr>
          <w:rFonts w:hint="eastAsia"/>
        </w:rPr>
        <w:t>EU</w:t>
      </w:r>
      <w:r w:rsidRPr="00642F76">
        <w:rPr>
          <w:rFonts w:hint="eastAsia"/>
        </w:rPr>
        <w:t>学会年報』第</w:t>
      </w:r>
      <w:r>
        <w:rPr>
          <w:rFonts w:hint="eastAsia"/>
        </w:rPr>
        <w:t>23</w:t>
      </w:r>
      <w:r>
        <w:rPr>
          <w:rFonts w:hint="eastAsia"/>
        </w:rPr>
        <w:t>号，</w:t>
      </w:r>
      <w:r w:rsidRPr="00642F76">
        <w:rPr>
          <w:rFonts w:hint="eastAsia"/>
        </w:rPr>
        <w:t>pp.162-184</w:t>
      </w:r>
      <w:r>
        <w:rPr>
          <w:rFonts w:hint="eastAsia"/>
        </w:rPr>
        <w:t>．</w:t>
      </w:r>
    </w:p>
    <w:p w:rsidR="00642F76" w:rsidRDefault="00642F76" w:rsidP="00642F76">
      <w:pPr>
        <w:ind w:left="1005" w:hangingChars="500" w:hanging="1005"/>
      </w:pPr>
      <w:bookmarkStart w:id="0" w:name="OLE_LINK1"/>
      <w:r w:rsidRPr="00642F76">
        <w:rPr>
          <w:rFonts w:hint="eastAsia"/>
          <w:spacing w:val="-20"/>
        </w:rPr>
        <w:t>――――</w:t>
      </w:r>
      <w:r>
        <w:rPr>
          <w:rFonts w:hint="eastAsia"/>
        </w:rPr>
        <w:t>（</w:t>
      </w:r>
      <w:r>
        <w:rPr>
          <w:rFonts w:hint="eastAsia"/>
        </w:rPr>
        <w:t>2007</w:t>
      </w:r>
      <w:r>
        <w:rPr>
          <w:rFonts w:hint="eastAsia"/>
        </w:rPr>
        <w:t>）</w:t>
      </w:r>
      <w:bookmarkEnd w:id="0"/>
      <w:r>
        <w:rPr>
          <w:rFonts w:hint="eastAsia"/>
        </w:rPr>
        <w:t>『</w:t>
      </w:r>
      <w:r w:rsidRPr="00642F76">
        <w:rPr>
          <w:rFonts w:hint="eastAsia"/>
        </w:rPr>
        <w:t>最適通貨圏としてのユーロエリア</w:t>
      </w:r>
      <w:r>
        <w:rPr>
          <w:rFonts w:hint="eastAsia"/>
        </w:rPr>
        <w:t>』</w:t>
      </w:r>
      <w:r w:rsidRPr="00642F76">
        <w:rPr>
          <w:rFonts w:hint="eastAsia"/>
        </w:rPr>
        <w:t>三菱経済研究所</w:t>
      </w:r>
      <w:r w:rsidR="005258CB">
        <w:rPr>
          <w:rFonts w:hint="eastAsia"/>
        </w:rPr>
        <w:t>．</w:t>
      </w:r>
    </w:p>
    <w:p w:rsidR="005258CB" w:rsidRDefault="005258CB" w:rsidP="005258CB">
      <w:pPr>
        <w:ind w:left="1005" w:hangingChars="500" w:hanging="1005"/>
      </w:pPr>
      <w:r w:rsidRPr="00642F76">
        <w:rPr>
          <w:rFonts w:hint="eastAsia"/>
          <w:spacing w:val="-20"/>
        </w:rPr>
        <w:t>――――</w:t>
      </w:r>
      <w:r>
        <w:rPr>
          <w:rFonts w:hint="eastAsia"/>
        </w:rPr>
        <w:t>（</w:t>
      </w:r>
      <w:r>
        <w:rPr>
          <w:rFonts w:hint="eastAsia"/>
        </w:rPr>
        <w:t>2009</w:t>
      </w:r>
      <w:r>
        <w:rPr>
          <w:rFonts w:hint="eastAsia"/>
        </w:rPr>
        <w:t>）「</w:t>
      </w:r>
      <w:r w:rsidRPr="005258CB">
        <w:rPr>
          <w:rFonts w:hint="eastAsia"/>
        </w:rPr>
        <w:t>ヨーロッパ経済回復への道</w:t>
      </w:r>
      <w:r>
        <w:rPr>
          <w:rFonts w:hint="eastAsia"/>
        </w:rPr>
        <w:t>」</w:t>
      </w:r>
      <w:r w:rsidRPr="005258CB">
        <w:rPr>
          <w:rFonts w:hint="eastAsia"/>
        </w:rPr>
        <w:t>拓殖大学海外事情研究所『海外事情』</w:t>
      </w:r>
      <w:r w:rsidRPr="005258CB">
        <w:rPr>
          <w:rFonts w:hint="eastAsia"/>
        </w:rPr>
        <w:t>2009</w:t>
      </w:r>
      <w:r w:rsidRPr="005258CB">
        <w:rPr>
          <w:rFonts w:hint="eastAsia"/>
        </w:rPr>
        <w:t>年</w:t>
      </w:r>
      <w:r w:rsidRPr="005258CB">
        <w:rPr>
          <w:rFonts w:hint="eastAsia"/>
        </w:rPr>
        <w:t>6</w:t>
      </w:r>
      <w:r w:rsidRPr="005258CB">
        <w:rPr>
          <w:rFonts w:hint="eastAsia"/>
        </w:rPr>
        <w:t>月号</w:t>
      </w:r>
      <w:r>
        <w:rPr>
          <w:rFonts w:hint="eastAsia"/>
        </w:rPr>
        <w:t>，</w:t>
      </w:r>
      <w:r w:rsidRPr="005258CB">
        <w:rPr>
          <w:rFonts w:hint="eastAsia"/>
        </w:rPr>
        <w:t>pp.40-56.</w:t>
      </w:r>
    </w:p>
    <w:p w:rsidR="00642F76" w:rsidRDefault="00642F76" w:rsidP="00642F76">
      <w:pPr>
        <w:ind w:left="1005" w:hangingChars="500" w:hanging="1005"/>
      </w:pPr>
      <w:r w:rsidRPr="00642F76">
        <w:rPr>
          <w:rFonts w:hint="eastAsia"/>
          <w:spacing w:val="-20"/>
        </w:rPr>
        <w:t>――――</w:t>
      </w:r>
      <w:r>
        <w:rPr>
          <w:rFonts w:hint="eastAsia"/>
        </w:rPr>
        <w:t>（</w:t>
      </w:r>
      <w:r>
        <w:rPr>
          <w:rFonts w:hint="eastAsia"/>
        </w:rPr>
        <w:t>2010</w:t>
      </w:r>
      <w:r>
        <w:rPr>
          <w:rFonts w:hint="eastAsia"/>
        </w:rPr>
        <w:t>）「ユーロの金融政策」</w:t>
      </w:r>
      <w:r w:rsidR="0025532E">
        <w:rPr>
          <w:rFonts w:hint="eastAsia"/>
        </w:rPr>
        <w:t>高屋定美編著</w:t>
      </w:r>
      <w:r>
        <w:rPr>
          <w:rFonts w:hint="eastAsia"/>
        </w:rPr>
        <w:t>『</w:t>
      </w:r>
      <w:r>
        <w:rPr>
          <w:rFonts w:hint="eastAsia"/>
        </w:rPr>
        <w:t>EU</w:t>
      </w:r>
      <w:r>
        <w:rPr>
          <w:rFonts w:hint="eastAsia"/>
        </w:rPr>
        <w:t>経済』ミネルヴァ書房，</w:t>
      </w:r>
      <w:r>
        <w:t>pp.123-150.</w:t>
      </w:r>
    </w:p>
    <w:p w:rsidR="00642F76" w:rsidRDefault="00642F76" w:rsidP="00642F76">
      <w:pPr>
        <w:ind w:left="1205" w:hangingChars="500" w:hanging="1205"/>
      </w:pPr>
      <w:r>
        <w:rPr>
          <w:rFonts w:hint="eastAsia"/>
        </w:rPr>
        <w:t>白川方明（</w:t>
      </w:r>
      <w:r>
        <w:rPr>
          <w:rFonts w:hint="eastAsia"/>
        </w:rPr>
        <w:t>2009</w:t>
      </w:r>
      <w:r>
        <w:rPr>
          <w:rFonts w:hint="eastAsia"/>
        </w:rPr>
        <w:t>）「金融政策の実践と金融システム：思考様式を巡る変遷」『金融研究』第</w:t>
      </w:r>
      <w:r>
        <w:rPr>
          <w:rFonts w:hint="eastAsia"/>
        </w:rPr>
        <w:t xml:space="preserve">28 </w:t>
      </w:r>
      <w:r>
        <w:rPr>
          <w:rFonts w:hint="eastAsia"/>
        </w:rPr>
        <w:t>巻第</w:t>
      </w:r>
      <w:r>
        <w:rPr>
          <w:rFonts w:hint="eastAsia"/>
        </w:rPr>
        <w:t xml:space="preserve">3 </w:t>
      </w:r>
      <w:r>
        <w:rPr>
          <w:rFonts w:hint="eastAsia"/>
        </w:rPr>
        <w:t>号，日本銀行金融研究所，</w:t>
      </w:r>
      <w:r>
        <w:rPr>
          <w:rFonts w:hint="eastAsia"/>
        </w:rPr>
        <w:t>pp.21-26</w:t>
      </w:r>
      <w:r>
        <w:rPr>
          <w:rFonts w:hint="eastAsia"/>
        </w:rPr>
        <w:t>．</w:t>
      </w:r>
    </w:p>
    <w:p w:rsidR="00071827" w:rsidRDefault="00642F76" w:rsidP="00642F76">
      <w:pPr>
        <w:ind w:left="1205" w:hangingChars="500" w:hanging="1205"/>
      </w:pPr>
      <w:r w:rsidRPr="00642F76">
        <w:rPr>
          <w:rFonts w:hint="eastAsia"/>
        </w:rPr>
        <w:t>Borio, C.</w:t>
      </w:r>
      <w:r w:rsidRPr="00642F76">
        <w:rPr>
          <w:rFonts w:hint="eastAsia"/>
        </w:rPr>
        <w:t>（</w:t>
      </w:r>
      <w:r w:rsidRPr="00642F76">
        <w:rPr>
          <w:rFonts w:hint="eastAsia"/>
        </w:rPr>
        <w:t>1997</w:t>
      </w:r>
      <w:r w:rsidRPr="00642F76">
        <w:rPr>
          <w:rFonts w:hint="eastAsia"/>
        </w:rPr>
        <w:t>）“</w:t>
      </w:r>
      <w:r w:rsidRPr="00642F76">
        <w:rPr>
          <w:rFonts w:hint="eastAsia"/>
        </w:rPr>
        <w:t>The Implementation of Monetary Policy in Industrial Countries: A Survey,</w:t>
      </w:r>
      <w:r w:rsidRPr="00642F76">
        <w:rPr>
          <w:rFonts w:hint="eastAsia"/>
        </w:rPr>
        <w:t>”</w:t>
      </w:r>
      <w:r w:rsidRPr="00642F76">
        <w:rPr>
          <w:rFonts w:hint="eastAsia"/>
        </w:rPr>
        <w:t xml:space="preserve"> </w:t>
      </w:r>
      <w:r w:rsidRPr="006C48E9">
        <w:rPr>
          <w:rFonts w:hint="eastAsia"/>
          <w:i/>
        </w:rPr>
        <w:t>BIS Economic Papers</w:t>
      </w:r>
      <w:r w:rsidRPr="00642F76">
        <w:rPr>
          <w:rFonts w:hint="eastAsia"/>
        </w:rPr>
        <w:t>, NO. 47.</w:t>
      </w:r>
    </w:p>
    <w:p w:rsidR="00642F76" w:rsidRPr="00642F76" w:rsidRDefault="00642F76" w:rsidP="00642F76">
      <w:pPr>
        <w:ind w:left="1205" w:hangingChars="500" w:hanging="1205"/>
      </w:pPr>
      <w:r>
        <w:rPr>
          <w:rFonts w:hint="eastAsia"/>
        </w:rPr>
        <w:t>ECB</w:t>
      </w:r>
      <w:r>
        <w:rPr>
          <w:rFonts w:hint="eastAsia"/>
        </w:rPr>
        <w:t>（</w:t>
      </w:r>
      <w:r>
        <w:rPr>
          <w:rFonts w:hint="eastAsia"/>
        </w:rPr>
        <w:t>2010</w:t>
      </w:r>
      <w:r>
        <w:rPr>
          <w:rFonts w:hint="eastAsia"/>
        </w:rPr>
        <w:t>）</w:t>
      </w:r>
      <w:r>
        <w:t>”</w:t>
      </w:r>
      <w:r w:rsidRPr="00642F76">
        <w:t xml:space="preserve"> </w:t>
      </w:r>
      <w:r>
        <w:rPr>
          <w:rFonts w:hint="eastAsia"/>
        </w:rPr>
        <w:t>The</w:t>
      </w:r>
      <w:r>
        <w:t xml:space="preserve"> ECB’</w:t>
      </w:r>
      <w:r>
        <w:rPr>
          <w:rFonts w:hint="eastAsia"/>
        </w:rPr>
        <w:t>s</w:t>
      </w:r>
      <w:r>
        <w:t xml:space="preserve"> M</w:t>
      </w:r>
      <w:r>
        <w:rPr>
          <w:rFonts w:hint="eastAsia"/>
        </w:rPr>
        <w:t>onetary</w:t>
      </w:r>
      <w:r>
        <w:t xml:space="preserve"> P</w:t>
      </w:r>
      <w:r>
        <w:rPr>
          <w:rFonts w:hint="eastAsia"/>
        </w:rPr>
        <w:t>olicy</w:t>
      </w:r>
      <w:r>
        <w:t xml:space="preserve"> S</w:t>
      </w:r>
      <w:r>
        <w:rPr>
          <w:rFonts w:hint="eastAsia"/>
        </w:rPr>
        <w:t xml:space="preserve">tance </w:t>
      </w:r>
      <w:r>
        <w:t>D</w:t>
      </w:r>
      <w:r>
        <w:rPr>
          <w:rFonts w:hint="eastAsia"/>
        </w:rPr>
        <w:t>uring</w:t>
      </w:r>
      <w:r>
        <w:t xml:space="preserve"> </w:t>
      </w:r>
      <w:r>
        <w:rPr>
          <w:rFonts w:hint="eastAsia"/>
        </w:rPr>
        <w:t>the</w:t>
      </w:r>
      <w:r>
        <w:t xml:space="preserve"> F</w:t>
      </w:r>
      <w:r>
        <w:rPr>
          <w:rFonts w:hint="eastAsia"/>
        </w:rPr>
        <w:t>inancial</w:t>
      </w:r>
      <w:r>
        <w:t xml:space="preserve"> C</w:t>
      </w:r>
      <w:r>
        <w:rPr>
          <w:rFonts w:hint="eastAsia"/>
        </w:rPr>
        <w:t>risis,</w:t>
      </w:r>
      <w:r>
        <w:t>”</w:t>
      </w:r>
      <w:r>
        <w:rPr>
          <w:rFonts w:hint="eastAsia"/>
        </w:rPr>
        <w:t xml:space="preserve"> </w:t>
      </w:r>
      <w:r w:rsidRPr="006C48E9">
        <w:rPr>
          <w:rFonts w:hint="eastAsia"/>
          <w:i/>
        </w:rPr>
        <w:t>ECB Monthly Bulletin</w:t>
      </w:r>
      <w:r>
        <w:rPr>
          <w:rFonts w:hint="eastAsia"/>
        </w:rPr>
        <w:t>, January-2010, pp. 63-71.</w:t>
      </w:r>
    </w:p>
    <w:p w:rsidR="00642F76" w:rsidRPr="00642F76" w:rsidRDefault="00071827" w:rsidP="00925893">
      <w:pPr>
        <w:ind w:left="1205" w:hangingChars="500" w:hanging="1205"/>
      </w:pPr>
      <w:r>
        <w:t>Goodfriend, M</w:t>
      </w:r>
      <w:r w:rsidR="00642F76">
        <w:rPr>
          <w:rFonts w:hint="eastAsia"/>
        </w:rPr>
        <w:t>.</w:t>
      </w:r>
      <w:r w:rsidR="00642F76">
        <w:rPr>
          <w:rFonts w:hint="eastAsia"/>
        </w:rPr>
        <w:t>（</w:t>
      </w:r>
      <w:r w:rsidR="00642F76">
        <w:rPr>
          <w:rFonts w:hint="eastAsia"/>
        </w:rPr>
        <w:t>2009</w:t>
      </w:r>
      <w:r w:rsidR="00642F76">
        <w:rPr>
          <w:rFonts w:hint="eastAsia"/>
        </w:rPr>
        <w:t>）</w:t>
      </w:r>
      <w:r>
        <w:t xml:space="preserve"> “Central Banking in the Credit Turmoil: An Assessment of</w:t>
      </w:r>
      <w:r w:rsidR="00642F76">
        <w:rPr>
          <w:rFonts w:hint="eastAsia"/>
        </w:rPr>
        <w:t xml:space="preserve"> </w:t>
      </w:r>
      <w:r>
        <w:t xml:space="preserve">Federal Reserve Practice,” </w:t>
      </w:r>
      <w:r w:rsidRPr="00CE5428">
        <w:rPr>
          <w:i/>
        </w:rPr>
        <w:t>paper presented at the 2009 International Conference on</w:t>
      </w:r>
      <w:r w:rsidR="00642F76" w:rsidRPr="00CE5428">
        <w:rPr>
          <w:rFonts w:hint="eastAsia"/>
          <w:i/>
        </w:rPr>
        <w:t xml:space="preserve"> </w:t>
      </w:r>
      <w:r w:rsidRPr="00CE5428">
        <w:rPr>
          <w:rFonts w:hint="eastAsia"/>
          <w:i/>
        </w:rPr>
        <w:t>“</w:t>
      </w:r>
      <w:r w:rsidRPr="00CE5428">
        <w:rPr>
          <w:i/>
        </w:rPr>
        <w:t>Financial System and Monetary Policy Implementation” held at the Institute for</w:t>
      </w:r>
      <w:r w:rsidR="00642F76" w:rsidRPr="00CE5428">
        <w:rPr>
          <w:rFonts w:hint="eastAsia"/>
          <w:i/>
        </w:rPr>
        <w:t xml:space="preserve"> </w:t>
      </w:r>
      <w:r w:rsidRPr="00CE5428">
        <w:rPr>
          <w:i/>
        </w:rPr>
        <w:t>Monetary and Economic Studies</w:t>
      </w:r>
      <w:r>
        <w:t>, Bank of Japan, 2009.</w:t>
      </w:r>
    </w:p>
    <w:sectPr w:rsidR="00642F76" w:rsidRPr="00642F76" w:rsidSect="00F02AEC">
      <w:footerReference w:type="default" r:id="rId12"/>
      <w:pgSz w:w="11906" w:h="16838" w:code="9"/>
      <w:pgMar w:top="1134" w:right="1134" w:bottom="1134" w:left="1134" w:header="851" w:footer="992" w:gutter="0"/>
      <w:cols w:space="425"/>
      <w:docGrid w:type="linesAndChars" w:linePitch="360"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50" w:rsidRDefault="00096350" w:rsidP="00962590">
      <w:r>
        <w:separator/>
      </w:r>
    </w:p>
  </w:endnote>
  <w:endnote w:type="continuationSeparator" w:id="0">
    <w:p w:rsidR="00096350" w:rsidRDefault="00096350" w:rsidP="009625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0532"/>
      <w:docPartObj>
        <w:docPartGallery w:val="Page Numbers (Bottom of Page)"/>
        <w:docPartUnique/>
      </w:docPartObj>
    </w:sdtPr>
    <w:sdtContent>
      <w:p w:rsidR="00F16A2B" w:rsidRDefault="00E35EB6">
        <w:pPr>
          <w:pStyle w:val="a5"/>
        </w:pPr>
        <w:r w:rsidRPr="00E35EB6">
          <w:pict>
            <v:rect id="_x0000_s6145" style="position:absolute;left:0;text-align:left;margin-left:-39.7pt;margin-top:19.5pt;width:44.55pt;height:15.1pt;rotation:-180;flip:x;z-index:251660288;mso-position-horizontal-relative:right-margin-area;mso-position-vertical-relative:bottom-margin-area;mso-height-relative:bottom-margin-area" filled="f" fillcolor="#c0504d [3205]" stroked="f" strokecolor="#4f81bd [3204]" strokeweight="2.25pt">
              <v:textbox style="mso-next-textbox:#_x0000_s6145" inset=",0,,0">
                <w:txbxContent>
                  <w:p w:rsidR="00F16A2B" w:rsidRDefault="00E35EB6">
                    <w:pPr>
                      <w:pBdr>
                        <w:top w:val="single" w:sz="4" w:space="1" w:color="7F7F7F" w:themeColor="background1" w:themeShade="7F"/>
                      </w:pBdr>
                      <w:jc w:val="center"/>
                      <w:rPr>
                        <w:color w:val="C0504D" w:themeColor="accent2"/>
                      </w:rPr>
                    </w:pPr>
                    <w:fldSimple w:instr=" PAGE   \* MERGEFORMAT ">
                      <w:r w:rsidR="00DA1E3B" w:rsidRPr="00DA1E3B">
                        <w:rPr>
                          <w:noProof/>
                          <w:color w:val="C0504D" w:themeColor="accent2"/>
                          <w:lang w:val="ja-JP"/>
                        </w:rPr>
                        <w:t>6</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50" w:rsidRDefault="00096350" w:rsidP="00962590">
      <w:r>
        <w:separator/>
      </w:r>
    </w:p>
  </w:footnote>
  <w:footnote w:type="continuationSeparator" w:id="0">
    <w:p w:rsidR="00096350" w:rsidRDefault="00096350" w:rsidP="00962590">
      <w:r>
        <w:continuationSeparator/>
      </w:r>
    </w:p>
  </w:footnote>
  <w:footnote w:id="1">
    <w:p w:rsidR="00FF106C" w:rsidRDefault="00FF106C">
      <w:pPr>
        <w:pStyle w:val="ab"/>
      </w:pPr>
      <w:r>
        <w:rPr>
          <w:rStyle w:val="ad"/>
        </w:rPr>
        <w:footnoteRef/>
      </w:r>
      <w:r>
        <w:t xml:space="preserve"> </w:t>
      </w:r>
      <w:r>
        <w:rPr>
          <w:rFonts w:hint="eastAsia"/>
        </w:rPr>
        <w:t>川野（</w:t>
      </w:r>
      <w:r>
        <w:rPr>
          <w:rFonts w:hint="eastAsia"/>
        </w:rPr>
        <w:t>2003</w:t>
      </w:r>
      <w:r>
        <w:rPr>
          <w:rFonts w:hint="eastAsia"/>
        </w:rPr>
        <w:t>）により，</w:t>
      </w:r>
      <w:r>
        <w:rPr>
          <w:rFonts w:hint="eastAsia"/>
        </w:rPr>
        <w:t>3</w:t>
      </w:r>
      <w:r>
        <w:rPr>
          <w:rFonts w:hint="eastAsia"/>
        </w:rPr>
        <w:t>カ月物のマネーマーケット金利は政策金利の代理変数として利用できる．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BD14579_"/>
      </v:shape>
    </w:pict>
  </w:numPicBullet>
  <w:abstractNum w:abstractNumId="0">
    <w:nsid w:val="1D6144C9"/>
    <w:multiLevelType w:val="hybridMultilevel"/>
    <w:tmpl w:val="1EDC68FC"/>
    <w:lvl w:ilvl="0" w:tplc="B694F3B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A1565E"/>
    <w:multiLevelType w:val="hybridMultilevel"/>
    <w:tmpl w:val="6646ED14"/>
    <w:lvl w:ilvl="0" w:tplc="B694F3B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A53366"/>
    <w:multiLevelType w:val="hybridMultilevel"/>
    <w:tmpl w:val="2006D684"/>
    <w:lvl w:ilvl="0" w:tplc="B694F3B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3B722F6"/>
    <w:multiLevelType w:val="hybridMultilevel"/>
    <w:tmpl w:val="F6B28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1830815"/>
    <w:multiLevelType w:val="hybridMultilevel"/>
    <w:tmpl w:val="B5C6F9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96A7BB6"/>
    <w:multiLevelType w:val="hybridMultilevel"/>
    <w:tmpl w:val="D0784B32"/>
    <w:lvl w:ilvl="0" w:tplc="B694F3B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17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E26"/>
    <w:rsid w:val="00071827"/>
    <w:rsid w:val="00096350"/>
    <w:rsid w:val="000C504E"/>
    <w:rsid w:val="000F730B"/>
    <w:rsid w:val="00111402"/>
    <w:rsid w:val="00192822"/>
    <w:rsid w:val="001B58B3"/>
    <w:rsid w:val="001E33AA"/>
    <w:rsid w:val="00207058"/>
    <w:rsid w:val="002154B1"/>
    <w:rsid w:val="002214AF"/>
    <w:rsid w:val="0025532E"/>
    <w:rsid w:val="003249FE"/>
    <w:rsid w:val="00396207"/>
    <w:rsid w:val="003E4CA7"/>
    <w:rsid w:val="00401C3D"/>
    <w:rsid w:val="0043170F"/>
    <w:rsid w:val="00431E60"/>
    <w:rsid w:val="004328C5"/>
    <w:rsid w:val="005162B6"/>
    <w:rsid w:val="005258CB"/>
    <w:rsid w:val="00583258"/>
    <w:rsid w:val="005F102E"/>
    <w:rsid w:val="005F7890"/>
    <w:rsid w:val="0063474C"/>
    <w:rsid w:val="00635A76"/>
    <w:rsid w:val="006405C1"/>
    <w:rsid w:val="00642F76"/>
    <w:rsid w:val="00651C2B"/>
    <w:rsid w:val="006547C8"/>
    <w:rsid w:val="00674FC9"/>
    <w:rsid w:val="006806D6"/>
    <w:rsid w:val="006834FC"/>
    <w:rsid w:val="006923B0"/>
    <w:rsid w:val="006A4C01"/>
    <w:rsid w:val="006C48E9"/>
    <w:rsid w:val="00705745"/>
    <w:rsid w:val="00740DB9"/>
    <w:rsid w:val="008612E2"/>
    <w:rsid w:val="00866C6D"/>
    <w:rsid w:val="00880290"/>
    <w:rsid w:val="0089633C"/>
    <w:rsid w:val="008A358A"/>
    <w:rsid w:val="008B3508"/>
    <w:rsid w:val="008B3C48"/>
    <w:rsid w:val="00925893"/>
    <w:rsid w:val="00926F40"/>
    <w:rsid w:val="00943D8F"/>
    <w:rsid w:val="009472D0"/>
    <w:rsid w:val="0095461E"/>
    <w:rsid w:val="00962590"/>
    <w:rsid w:val="0096666A"/>
    <w:rsid w:val="00970A60"/>
    <w:rsid w:val="00975F14"/>
    <w:rsid w:val="009A28C2"/>
    <w:rsid w:val="009B7A2A"/>
    <w:rsid w:val="009D5DE2"/>
    <w:rsid w:val="009D6A91"/>
    <w:rsid w:val="009E7E26"/>
    <w:rsid w:val="00A31EE3"/>
    <w:rsid w:val="00AE35BF"/>
    <w:rsid w:val="00AE370F"/>
    <w:rsid w:val="00B1650D"/>
    <w:rsid w:val="00B47FA0"/>
    <w:rsid w:val="00B60A4C"/>
    <w:rsid w:val="00B60C25"/>
    <w:rsid w:val="00B97E0B"/>
    <w:rsid w:val="00BB165C"/>
    <w:rsid w:val="00BB60A1"/>
    <w:rsid w:val="00BD6925"/>
    <w:rsid w:val="00BE4057"/>
    <w:rsid w:val="00BF3AEA"/>
    <w:rsid w:val="00C407EE"/>
    <w:rsid w:val="00C4450F"/>
    <w:rsid w:val="00C86E37"/>
    <w:rsid w:val="00CE5428"/>
    <w:rsid w:val="00D62ADB"/>
    <w:rsid w:val="00D7235B"/>
    <w:rsid w:val="00D90144"/>
    <w:rsid w:val="00DA1E3B"/>
    <w:rsid w:val="00DC601C"/>
    <w:rsid w:val="00DD3414"/>
    <w:rsid w:val="00E35DD2"/>
    <w:rsid w:val="00E35EB6"/>
    <w:rsid w:val="00E932B4"/>
    <w:rsid w:val="00F02AEC"/>
    <w:rsid w:val="00F16A2B"/>
    <w:rsid w:val="00F34EC7"/>
    <w:rsid w:val="00F8783A"/>
    <w:rsid w:val="00FF10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D6"/>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2590"/>
    <w:pPr>
      <w:tabs>
        <w:tab w:val="center" w:pos="4252"/>
        <w:tab w:val="right" w:pos="8504"/>
      </w:tabs>
      <w:snapToGrid w:val="0"/>
    </w:pPr>
  </w:style>
  <w:style w:type="character" w:customStyle="1" w:styleId="a4">
    <w:name w:val="ヘッダー (文字)"/>
    <w:basedOn w:val="a0"/>
    <w:link w:val="a3"/>
    <w:uiPriority w:val="99"/>
    <w:semiHidden/>
    <w:rsid w:val="00962590"/>
    <w:rPr>
      <w:lang w:val="en-GB"/>
    </w:rPr>
  </w:style>
  <w:style w:type="paragraph" w:styleId="a5">
    <w:name w:val="footer"/>
    <w:basedOn w:val="a"/>
    <w:link w:val="a6"/>
    <w:uiPriority w:val="99"/>
    <w:semiHidden/>
    <w:unhideWhenUsed/>
    <w:rsid w:val="00962590"/>
    <w:pPr>
      <w:tabs>
        <w:tab w:val="center" w:pos="4252"/>
        <w:tab w:val="right" w:pos="8504"/>
      </w:tabs>
      <w:snapToGrid w:val="0"/>
    </w:pPr>
  </w:style>
  <w:style w:type="character" w:customStyle="1" w:styleId="a6">
    <w:name w:val="フッター (文字)"/>
    <w:basedOn w:val="a0"/>
    <w:link w:val="a5"/>
    <w:uiPriority w:val="99"/>
    <w:semiHidden/>
    <w:rsid w:val="00962590"/>
    <w:rPr>
      <w:lang w:val="en-GB"/>
    </w:rPr>
  </w:style>
  <w:style w:type="table" w:styleId="a7">
    <w:name w:val="Table Grid"/>
    <w:basedOn w:val="a1"/>
    <w:uiPriority w:val="59"/>
    <w:rsid w:val="00BE40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96666A"/>
    <w:pPr>
      <w:ind w:leftChars="400" w:left="840"/>
    </w:pPr>
  </w:style>
  <w:style w:type="paragraph" w:styleId="a9">
    <w:name w:val="Balloon Text"/>
    <w:basedOn w:val="a"/>
    <w:link w:val="aa"/>
    <w:uiPriority w:val="99"/>
    <w:semiHidden/>
    <w:unhideWhenUsed/>
    <w:rsid w:val="00E93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32B4"/>
    <w:rPr>
      <w:rFonts w:asciiTheme="majorHAnsi" w:eastAsiaTheme="majorEastAsia" w:hAnsiTheme="majorHAnsi" w:cstheme="majorBidi"/>
      <w:sz w:val="18"/>
      <w:szCs w:val="18"/>
      <w:lang w:val="en-GB"/>
    </w:rPr>
  </w:style>
  <w:style w:type="paragraph" w:styleId="ab">
    <w:name w:val="footnote text"/>
    <w:basedOn w:val="a"/>
    <w:link w:val="ac"/>
    <w:uiPriority w:val="99"/>
    <w:semiHidden/>
    <w:unhideWhenUsed/>
    <w:rsid w:val="00FF106C"/>
    <w:pPr>
      <w:snapToGrid w:val="0"/>
      <w:jc w:val="left"/>
    </w:pPr>
  </w:style>
  <w:style w:type="character" w:customStyle="1" w:styleId="ac">
    <w:name w:val="脚注文字列 (文字)"/>
    <w:basedOn w:val="a0"/>
    <w:link w:val="ab"/>
    <w:uiPriority w:val="99"/>
    <w:semiHidden/>
    <w:rsid w:val="00FF106C"/>
    <w:rPr>
      <w:lang w:val="en-GB"/>
    </w:rPr>
  </w:style>
  <w:style w:type="character" w:styleId="ad">
    <w:name w:val="footnote reference"/>
    <w:basedOn w:val="a0"/>
    <w:uiPriority w:val="99"/>
    <w:semiHidden/>
    <w:unhideWhenUsed/>
    <w:rsid w:val="00FF106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AWANO\My%20Documents\&#30740;&#31350;&#36039;&#26009;\&#35542;&#25991;&#12539;&#12524;&#12509;&#12540;&#12488;\&#12381;&#12398;&#20182;\&#12486;&#12461;&#12473;&#12488;\&#39640;&#23627;&#20808;&#29983;&#12486;&#12461;&#12473;&#12488;&#65293;&#22522;&#30990;&#12487;&#12540;&#1247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AWANO\My%20Documents\&#30740;&#31350;&#36039;&#26009;\&#35542;&#25991;&#12539;&#12524;&#12509;&#12540;&#12488;\&#12381;&#12398;&#20182;\&#12486;&#12461;&#12473;&#12488;\&#39640;&#23627;&#20808;&#29983;&#12486;&#12461;&#12473;&#12488;&#65293;&#22522;&#30990;&#12487;&#12540;&#1247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KAWANO\My%20Documents\&#30740;&#31350;&#36039;&#26009;\&#35542;&#25991;&#12539;&#12524;&#12509;&#12540;&#12488;\&#22269;&#38555;&#32076;&#28168;&#23398;&#20250;\2010\&#22522;&#30990;&#12487;&#12540;&#124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lineChart>
        <c:grouping val="standard"/>
        <c:ser>
          <c:idx val="0"/>
          <c:order val="0"/>
          <c:tx>
            <c:strRef>
              <c:f>政策金利!$B$1</c:f>
              <c:strCache>
                <c:ptCount val="1"/>
                <c:pt idx="0">
                  <c:v>政策金利</c:v>
                </c:pt>
              </c:strCache>
            </c:strRef>
          </c:tx>
          <c:spPr>
            <a:ln w="38100">
              <a:solidFill>
                <a:schemeClr val="tx1"/>
              </a:solidFill>
            </a:ln>
          </c:spPr>
          <c:marker>
            <c:symbol val="none"/>
          </c:marker>
          <c:cat>
            <c:numRef>
              <c:f>政策金利!$A$2:$A$193</c:f>
              <c:numCache>
                <c:formatCode>yyyy/mm/dd</c:formatCode>
                <c:ptCount val="192"/>
                <c:pt idx="0">
                  <c:v>40344</c:v>
                </c:pt>
                <c:pt idx="1">
                  <c:v>40101</c:v>
                </c:pt>
                <c:pt idx="2">
                  <c:v>40071</c:v>
                </c:pt>
                <c:pt idx="3">
                  <c:v>40040</c:v>
                </c:pt>
                <c:pt idx="4">
                  <c:v>40009</c:v>
                </c:pt>
                <c:pt idx="5">
                  <c:v>39979</c:v>
                </c:pt>
                <c:pt idx="6">
                  <c:v>39948</c:v>
                </c:pt>
                <c:pt idx="7">
                  <c:v>39946</c:v>
                </c:pt>
                <c:pt idx="8">
                  <c:v>39946</c:v>
                </c:pt>
                <c:pt idx="9">
                  <c:v>39918</c:v>
                </c:pt>
                <c:pt idx="10">
                  <c:v>39911</c:v>
                </c:pt>
                <c:pt idx="11">
                  <c:v>39911</c:v>
                </c:pt>
                <c:pt idx="12">
                  <c:v>39887</c:v>
                </c:pt>
                <c:pt idx="13">
                  <c:v>39883</c:v>
                </c:pt>
                <c:pt idx="14">
                  <c:v>39883</c:v>
                </c:pt>
                <c:pt idx="15">
                  <c:v>39859</c:v>
                </c:pt>
                <c:pt idx="16">
                  <c:v>39834</c:v>
                </c:pt>
                <c:pt idx="17">
                  <c:v>39834</c:v>
                </c:pt>
                <c:pt idx="18">
                  <c:v>39828</c:v>
                </c:pt>
                <c:pt idx="19">
                  <c:v>39797</c:v>
                </c:pt>
                <c:pt idx="20">
                  <c:v>39792</c:v>
                </c:pt>
                <c:pt idx="21">
                  <c:v>39792</c:v>
                </c:pt>
                <c:pt idx="22">
                  <c:v>39767</c:v>
                </c:pt>
                <c:pt idx="23">
                  <c:v>39764</c:v>
                </c:pt>
                <c:pt idx="24">
                  <c:v>39764</c:v>
                </c:pt>
                <c:pt idx="25">
                  <c:v>39736</c:v>
                </c:pt>
                <c:pt idx="26">
                  <c:v>39736</c:v>
                </c:pt>
                <c:pt idx="27">
                  <c:v>39706</c:v>
                </c:pt>
                <c:pt idx="28">
                  <c:v>39675</c:v>
                </c:pt>
                <c:pt idx="29">
                  <c:v>39644</c:v>
                </c:pt>
                <c:pt idx="30">
                  <c:v>39614</c:v>
                </c:pt>
                <c:pt idx="31">
                  <c:v>39608</c:v>
                </c:pt>
                <c:pt idx="32">
                  <c:v>39608</c:v>
                </c:pt>
                <c:pt idx="33">
                  <c:v>39583</c:v>
                </c:pt>
                <c:pt idx="34">
                  <c:v>39553</c:v>
                </c:pt>
                <c:pt idx="35">
                  <c:v>39522</c:v>
                </c:pt>
                <c:pt idx="36">
                  <c:v>39493</c:v>
                </c:pt>
                <c:pt idx="37">
                  <c:v>39462</c:v>
                </c:pt>
                <c:pt idx="38">
                  <c:v>39431</c:v>
                </c:pt>
                <c:pt idx="39">
                  <c:v>39401</c:v>
                </c:pt>
                <c:pt idx="40">
                  <c:v>39370</c:v>
                </c:pt>
                <c:pt idx="41">
                  <c:v>39340</c:v>
                </c:pt>
                <c:pt idx="42">
                  <c:v>39309</c:v>
                </c:pt>
                <c:pt idx="43">
                  <c:v>39278</c:v>
                </c:pt>
                <c:pt idx="44">
                  <c:v>39248</c:v>
                </c:pt>
                <c:pt idx="45">
                  <c:v>39246</c:v>
                </c:pt>
                <c:pt idx="46">
                  <c:v>39246</c:v>
                </c:pt>
                <c:pt idx="47">
                  <c:v>39217</c:v>
                </c:pt>
                <c:pt idx="48">
                  <c:v>39187</c:v>
                </c:pt>
                <c:pt idx="49">
                  <c:v>39156</c:v>
                </c:pt>
                <c:pt idx="50">
                  <c:v>39155</c:v>
                </c:pt>
                <c:pt idx="51">
                  <c:v>39155</c:v>
                </c:pt>
                <c:pt idx="52">
                  <c:v>39128</c:v>
                </c:pt>
                <c:pt idx="53">
                  <c:v>39097</c:v>
                </c:pt>
                <c:pt idx="54">
                  <c:v>39066</c:v>
                </c:pt>
                <c:pt idx="55">
                  <c:v>39064</c:v>
                </c:pt>
                <c:pt idx="56">
                  <c:v>39064</c:v>
                </c:pt>
                <c:pt idx="57">
                  <c:v>39036</c:v>
                </c:pt>
                <c:pt idx="58">
                  <c:v>39005</c:v>
                </c:pt>
                <c:pt idx="59">
                  <c:v>39001</c:v>
                </c:pt>
                <c:pt idx="60">
                  <c:v>39001</c:v>
                </c:pt>
                <c:pt idx="61">
                  <c:v>38975</c:v>
                </c:pt>
                <c:pt idx="62">
                  <c:v>38944</c:v>
                </c:pt>
                <c:pt idx="63">
                  <c:v>38938</c:v>
                </c:pt>
                <c:pt idx="64">
                  <c:v>38938</c:v>
                </c:pt>
                <c:pt idx="65">
                  <c:v>38913</c:v>
                </c:pt>
                <c:pt idx="66">
                  <c:v>38883</c:v>
                </c:pt>
                <c:pt idx="67">
                  <c:v>38883</c:v>
                </c:pt>
                <c:pt idx="68">
                  <c:v>38852</c:v>
                </c:pt>
                <c:pt idx="69">
                  <c:v>38822</c:v>
                </c:pt>
                <c:pt idx="70">
                  <c:v>38791</c:v>
                </c:pt>
                <c:pt idx="71">
                  <c:v>38784</c:v>
                </c:pt>
                <c:pt idx="72">
                  <c:v>38784</c:v>
                </c:pt>
                <c:pt idx="73">
                  <c:v>38763</c:v>
                </c:pt>
                <c:pt idx="74">
                  <c:v>38732</c:v>
                </c:pt>
                <c:pt idx="75">
                  <c:v>38701</c:v>
                </c:pt>
                <c:pt idx="76">
                  <c:v>38692</c:v>
                </c:pt>
                <c:pt idx="77">
                  <c:v>38692</c:v>
                </c:pt>
                <c:pt idx="78">
                  <c:v>38671</c:v>
                </c:pt>
                <c:pt idx="79">
                  <c:v>38640</c:v>
                </c:pt>
                <c:pt idx="80">
                  <c:v>38610</c:v>
                </c:pt>
                <c:pt idx="81">
                  <c:v>38579</c:v>
                </c:pt>
                <c:pt idx="82">
                  <c:v>38548</c:v>
                </c:pt>
                <c:pt idx="83">
                  <c:v>38518</c:v>
                </c:pt>
                <c:pt idx="84">
                  <c:v>38487</c:v>
                </c:pt>
                <c:pt idx="85">
                  <c:v>38457</c:v>
                </c:pt>
                <c:pt idx="86">
                  <c:v>38426</c:v>
                </c:pt>
                <c:pt idx="87">
                  <c:v>38398</c:v>
                </c:pt>
                <c:pt idx="88">
                  <c:v>38367</c:v>
                </c:pt>
                <c:pt idx="89">
                  <c:v>38336</c:v>
                </c:pt>
                <c:pt idx="90">
                  <c:v>38306</c:v>
                </c:pt>
                <c:pt idx="91">
                  <c:v>38275</c:v>
                </c:pt>
                <c:pt idx="92">
                  <c:v>38245</c:v>
                </c:pt>
                <c:pt idx="93">
                  <c:v>38214</c:v>
                </c:pt>
                <c:pt idx="94">
                  <c:v>38183</c:v>
                </c:pt>
                <c:pt idx="95">
                  <c:v>38153</c:v>
                </c:pt>
                <c:pt idx="96">
                  <c:v>38122</c:v>
                </c:pt>
                <c:pt idx="97">
                  <c:v>38092</c:v>
                </c:pt>
                <c:pt idx="98">
                  <c:v>38061</c:v>
                </c:pt>
                <c:pt idx="99">
                  <c:v>38032</c:v>
                </c:pt>
                <c:pt idx="100">
                  <c:v>38001</c:v>
                </c:pt>
                <c:pt idx="101">
                  <c:v>37970</c:v>
                </c:pt>
                <c:pt idx="102">
                  <c:v>37940</c:v>
                </c:pt>
                <c:pt idx="103">
                  <c:v>37909</c:v>
                </c:pt>
                <c:pt idx="104">
                  <c:v>37879</c:v>
                </c:pt>
                <c:pt idx="105">
                  <c:v>37848</c:v>
                </c:pt>
                <c:pt idx="106">
                  <c:v>37817</c:v>
                </c:pt>
                <c:pt idx="107">
                  <c:v>37787</c:v>
                </c:pt>
                <c:pt idx="108">
                  <c:v>37778</c:v>
                </c:pt>
                <c:pt idx="109">
                  <c:v>37778</c:v>
                </c:pt>
                <c:pt idx="110">
                  <c:v>37756</c:v>
                </c:pt>
                <c:pt idx="111">
                  <c:v>37726</c:v>
                </c:pt>
                <c:pt idx="112">
                  <c:v>37695</c:v>
                </c:pt>
                <c:pt idx="113">
                  <c:v>37687</c:v>
                </c:pt>
                <c:pt idx="114">
                  <c:v>37687</c:v>
                </c:pt>
                <c:pt idx="115">
                  <c:v>37667</c:v>
                </c:pt>
                <c:pt idx="116">
                  <c:v>37636</c:v>
                </c:pt>
                <c:pt idx="117">
                  <c:v>37605</c:v>
                </c:pt>
                <c:pt idx="118">
                  <c:v>37596</c:v>
                </c:pt>
                <c:pt idx="119">
                  <c:v>37596</c:v>
                </c:pt>
                <c:pt idx="120">
                  <c:v>37575</c:v>
                </c:pt>
                <c:pt idx="121">
                  <c:v>37544</c:v>
                </c:pt>
                <c:pt idx="122">
                  <c:v>37514</c:v>
                </c:pt>
                <c:pt idx="123">
                  <c:v>37483</c:v>
                </c:pt>
                <c:pt idx="124">
                  <c:v>37452</c:v>
                </c:pt>
                <c:pt idx="125">
                  <c:v>37422</c:v>
                </c:pt>
                <c:pt idx="126">
                  <c:v>37391</c:v>
                </c:pt>
                <c:pt idx="127">
                  <c:v>37361</c:v>
                </c:pt>
                <c:pt idx="128">
                  <c:v>37330</c:v>
                </c:pt>
                <c:pt idx="129">
                  <c:v>37302</c:v>
                </c:pt>
                <c:pt idx="130">
                  <c:v>37271</c:v>
                </c:pt>
                <c:pt idx="131">
                  <c:v>37240</c:v>
                </c:pt>
                <c:pt idx="132">
                  <c:v>37210</c:v>
                </c:pt>
                <c:pt idx="133">
                  <c:v>37204</c:v>
                </c:pt>
                <c:pt idx="134">
                  <c:v>37204</c:v>
                </c:pt>
                <c:pt idx="135">
                  <c:v>37179</c:v>
                </c:pt>
                <c:pt idx="136">
                  <c:v>37152</c:v>
                </c:pt>
                <c:pt idx="137">
                  <c:v>37152</c:v>
                </c:pt>
                <c:pt idx="138">
                  <c:v>37149</c:v>
                </c:pt>
                <c:pt idx="139">
                  <c:v>37134</c:v>
                </c:pt>
                <c:pt idx="140">
                  <c:v>37134</c:v>
                </c:pt>
                <c:pt idx="141">
                  <c:v>37118</c:v>
                </c:pt>
                <c:pt idx="142">
                  <c:v>37087</c:v>
                </c:pt>
                <c:pt idx="143">
                  <c:v>37057</c:v>
                </c:pt>
                <c:pt idx="144">
                  <c:v>37026</c:v>
                </c:pt>
                <c:pt idx="145">
                  <c:v>36996</c:v>
                </c:pt>
                <c:pt idx="146">
                  <c:v>36965</c:v>
                </c:pt>
                <c:pt idx="147">
                  <c:v>36961</c:v>
                </c:pt>
                <c:pt idx="148">
                  <c:v>36961</c:v>
                </c:pt>
                <c:pt idx="149">
                  <c:v>36937</c:v>
                </c:pt>
                <c:pt idx="150">
                  <c:v>36906</c:v>
                </c:pt>
                <c:pt idx="151">
                  <c:v>36875</c:v>
                </c:pt>
                <c:pt idx="152">
                  <c:v>36845</c:v>
                </c:pt>
                <c:pt idx="153">
                  <c:v>36814</c:v>
                </c:pt>
                <c:pt idx="154">
                  <c:v>36805</c:v>
                </c:pt>
                <c:pt idx="155">
                  <c:v>36805</c:v>
                </c:pt>
                <c:pt idx="156">
                  <c:v>36784</c:v>
                </c:pt>
                <c:pt idx="157">
                  <c:v>36770</c:v>
                </c:pt>
                <c:pt idx="158">
                  <c:v>36770</c:v>
                </c:pt>
                <c:pt idx="159">
                  <c:v>36753</c:v>
                </c:pt>
                <c:pt idx="160">
                  <c:v>36722</c:v>
                </c:pt>
                <c:pt idx="161">
                  <c:v>36692</c:v>
                </c:pt>
                <c:pt idx="162">
                  <c:v>36686</c:v>
                </c:pt>
                <c:pt idx="163">
                  <c:v>36686</c:v>
                </c:pt>
                <c:pt idx="164">
                  <c:v>36661</c:v>
                </c:pt>
                <c:pt idx="165">
                  <c:v>36644</c:v>
                </c:pt>
                <c:pt idx="166">
                  <c:v>36644</c:v>
                </c:pt>
                <c:pt idx="167">
                  <c:v>36631</c:v>
                </c:pt>
                <c:pt idx="168">
                  <c:v>36602</c:v>
                </c:pt>
                <c:pt idx="169">
                  <c:v>36602</c:v>
                </c:pt>
                <c:pt idx="170">
                  <c:v>36600</c:v>
                </c:pt>
                <c:pt idx="171">
                  <c:v>36571</c:v>
                </c:pt>
                <c:pt idx="172">
                  <c:v>36560</c:v>
                </c:pt>
                <c:pt idx="173">
                  <c:v>36560</c:v>
                </c:pt>
                <c:pt idx="174">
                  <c:v>36540</c:v>
                </c:pt>
                <c:pt idx="175">
                  <c:v>36509</c:v>
                </c:pt>
                <c:pt idx="176">
                  <c:v>36479</c:v>
                </c:pt>
                <c:pt idx="177">
                  <c:v>36469</c:v>
                </c:pt>
                <c:pt idx="178">
                  <c:v>36469</c:v>
                </c:pt>
                <c:pt idx="179">
                  <c:v>36448</c:v>
                </c:pt>
                <c:pt idx="180">
                  <c:v>36418</c:v>
                </c:pt>
                <c:pt idx="181">
                  <c:v>36387</c:v>
                </c:pt>
                <c:pt idx="182">
                  <c:v>36356</c:v>
                </c:pt>
                <c:pt idx="183">
                  <c:v>36326</c:v>
                </c:pt>
                <c:pt idx="184">
                  <c:v>36295</c:v>
                </c:pt>
                <c:pt idx="185">
                  <c:v>36265</c:v>
                </c:pt>
                <c:pt idx="186">
                  <c:v>36259</c:v>
                </c:pt>
                <c:pt idx="187">
                  <c:v>36259</c:v>
                </c:pt>
                <c:pt idx="188">
                  <c:v>36234</c:v>
                </c:pt>
                <c:pt idx="189">
                  <c:v>36206</c:v>
                </c:pt>
                <c:pt idx="190">
                  <c:v>36175</c:v>
                </c:pt>
                <c:pt idx="191">
                  <c:v>36161</c:v>
                </c:pt>
              </c:numCache>
            </c:numRef>
          </c:cat>
          <c:val>
            <c:numRef>
              <c:f>政策金利!$B$2:$B$193</c:f>
              <c:numCache>
                <c:formatCode>General</c:formatCode>
                <c:ptCount val="192"/>
                <c:pt idx="0">
                  <c:v>1</c:v>
                </c:pt>
                <c:pt idx="1">
                  <c:v>1</c:v>
                </c:pt>
                <c:pt idx="2">
                  <c:v>1</c:v>
                </c:pt>
                <c:pt idx="3">
                  <c:v>1</c:v>
                </c:pt>
                <c:pt idx="4">
                  <c:v>1</c:v>
                </c:pt>
                <c:pt idx="5">
                  <c:v>1</c:v>
                </c:pt>
                <c:pt idx="6">
                  <c:v>1</c:v>
                </c:pt>
                <c:pt idx="7">
                  <c:v>1.25</c:v>
                </c:pt>
                <c:pt idx="8">
                  <c:v>1</c:v>
                </c:pt>
                <c:pt idx="9">
                  <c:v>1.25</c:v>
                </c:pt>
                <c:pt idx="10">
                  <c:v>1.5</c:v>
                </c:pt>
                <c:pt idx="11">
                  <c:v>1.25</c:v>
                </c:pt>
                <c:pt idx="12">
                  <c:v>1.5</c:v>
                </c:pt>
                <c:pt idx="13">
                  <c:v>2</c:v>
                </c:pt>
                <c:pt idx="14">
                  <c:v>1.5</c:v>
                </c:pt>
                <c:pt idx="15">
                  <c:v>2</c:v>
                </c:pt>
                <c:pt idx="16">
                  <c:v>2.5</c:v>
                </c:pt>
                <c:pt idx="17">
                  <c:v>2</c:v>
                </c:pt>
                <c:pt idx="18">
                  <c:v>2.5</c:v>
                </c:pt>
                <c:pt idx="19">
                  <c:v>2.5</c:v>
                </c:pt>
                <c:pt idx="20">
                  <c:v>3.25</c:v>
                </c:pt>
                <c:pt idx="21">
                  <c:v>2.5</c:v>
                </c:pt>
                <c:pt idx="22">
                  <c:v>3.25</c:v>
                </c:pt>
                <c:pt idx="23">
                  <c:v>3.75</c:v>
                </c:pt>
                <c:pt idx="24">
                  <c:v>3.25</c:v>
                </c:pt>
                <c:pt idx="25">
                  <c:v>4.25</c:v>
                </c:pt>
                <c:pt idx="26">
                  <c:v>3.75</c:v>
                </c:pt>
                <c:pt idx="27">
                  <c:v>4.25</c:v>
                </c:pt>
                <c:pt idx="28">
                  <c:v>4.25</c:v>
                </c:pt>
                <c:pt idx="29">
                  <c:v>4.25</c:v>
                </c:pt>
                <c:pt idx="30">
                  <c:v>4.25</c:v>
                </c:pt>
                <c:pt idx="31">
                  <c:v>4</c:v>
                </c:pt>
                <c:pt idx="32">
                  <c:v>4.25</c:v>
                </c:pt>
                <c:pt idx="33">
                  <c:v>4</c:v>
                </c:pt>
                <c:pt idx="34">
                  <c:v>4</c:v>
                </c:pt>
                <c:pt idx="35">
                  <c:v>4</c:v>
                </c:pt>
                <c:pt idx="36">
                  <c:v>4</c:v>
                </c:pt>
                <c:pt idx="37">
                  <c:v>4</c:v>
                </c:pt>
                <c:pt idx="38">
                  <c:v>4</c:v>
                </c:pt>
                <c:pt idx="39">
                  <c:v>4</c:v>
                </c:pt>
                <c:pt idx="40">
                  <c:v>4</c:v>
                </c:pt>
                <c:pt idx="41">
                  <c:v>4</c:v>
                </c:pt>
                <c:pt idx="42">
                  <c:v>4</c:v>
                </c:pt>
                <c:pt idx="43">
                  <c:v>4</c:v>
                </c:pt>
                <c:pt idx="44">
                  <c:v>4</c:v>
                </c:pt>
                <c:pt idx="45">
                  <c:v>3.75</c:v>
                </c:pt>
                <c:pt idx="46">
                  <c:v>4</c:v>
                </c:pt>
                <c:pt idx="47">
                  <c:v>3.75</c:v>
                </c:pt>
                <c:pt idx="48">
                  <c:v>3.75</c:v>
                </c:pt>
                <c:pt idx="49">
                  <c:v>3.75</c:v>
                </c:pt>
                <c:pt idx="50">
                  <c:v>3.5</c:v>
                </c:pt>
                <c:pt idx="51">
                  <c:v>3.75</c:v>
                </c:pt>
                <c:pt idx="52">
                  <c:v>3.5</c:v>
                </c:pt>
                <c:pt idx="53">
                  <c:v>3.5</c:v>
                </c:pt>
                <c:pt idx="54">
                  <c:v>3.5</c:v>
                </c:pt>
                <c:pt idx="55">
                  <c:v>3.25</c:v>
                </c:pt>
                <c:pt idx="56">
                  <c:v>3.5</c:v>
                </c:pt>
                <c:pt idx="57">
                  <c:v>3.25</c:v>
                </c:pt>
                <c:pt idx="58">
                  <c:v>3.25</c:v>
                </c:pt>
                <c:pt idx="59">
                  <c:v>3</c:v>
                </c:pt>
                <c:pt idx="60">
                  <c:v>3.25</c:v>
                </c:pt>
                <c:pt idx="61">
                  <c:v>3</c:v>
                </c:pt>
                <c:pt idx="62">
                  <c:v>3</c:v>
                </c:pt>
                <c:pt idx="63">
                  <c:v>2.75</c:v>
                </c:pt>
                <c:pt idx="64">
                  <c:v>3</c:v>
                </c:pt>
                <c:pt idx="65">
                  <c:v>2.75</c:v>
                </c:pt>
                <c:pt idx="66">
                  <c:v>2.5</c:v>
                </c:pt>
                <c:pt idx="67">
                  <c:v>2.75</c:v>
                </c:pt>
                <c:pt idx="68">
                  <c:v>2.5</c:v>
                </c:pt>
                <c:pt idx="69">
                  <c:v>2.5</c:v>
                </c:pt>
                <c:pt idx="70">
                  <c:v>2.5</c:v>
                </c:pt>
                <c:pt idx="71">
                  <c:v>2.25</c:v>
                </c:pt>
                <c:pt idx="72">
                  <c:v>2.5</c:v>
                </c:pt>
                <c:pt idx="73">
                  <c:v>2.25</c:v>
                </c:pt>
                <c:pt idx="74">
                  <c:v>2.25</c:v>
                </c:pt>
                <c:pt idx="75">
                  <c:v>2.25</c:v>
                </c:pt>
                <c:pt idx="76">
                  <c:v>2</c:v>
                </c:pt>
                <c:pt idx="77">
                  <c:v>2.25</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2</c:v>
                </c:pt>
                <c:pt idx="108">
                  <c:v>2.5</c:v>
                </c:pt>
                <c:pt idx="109">
                  <c:v>2</c:v>
                </c:pt>
                <c:pt idx="110">
                  <c:v>2.5</c:v>
                </c:pt>
                <c:pt idx="111">
                  <c:v>2.5</c:v>
                </c:pt>
                <c:pt idx="112">
                  <c:v>2.5</c:v>
                </c:pt>
                <c:pt idx="113">
                  <c:v>2.75</c:v>
                </c:pt>
                <c:pt idx="114">
                  <c:v>2.5</c:v>
                </c:pt>
                <c:pt idx="115">
                  <c:v>2.75</c:v>
                </c:pt>
                <c:pt idx="116">
                  <c:v>2.75</c:v>
                </c:pt>
                <c:pt idx="117">
                  <c:v>2.75</c:v>
                </c:pt>
                <c:pt idx="118">
                  <c:v>3.25</c:v>
                </c:pt>
                <c:pt idx="119">
                  <c:v>2.75</c:v>
                </c:pt>
                <c:pt idx="120">
                  <c:v>3.25</c:v>
                </c:pt>
                <c:pt idx="121">
                  <c:v>3.25</c:v>
                </c:pt>
                <c:pt idx="122">
                  <c:v>3.25</c:v>
                </c:pt>
                <c:pt idx="123">
                  <c:v>3.25</c:v>
                </c:pt>
                <c:pt idx="124">
                  <c:v>3.25</c:v>
                </c:pt>
                <c:pt idx="125">
                  <c:v>3.25</c:v>
                </c:pt>
                <c:pt idx="126">
                  <c:v>3.25</c:v>
                </c:pt>
                <c:pt idx="127">
                  <c:v>3.25</c:v>
                </c:pt>
                <c:pt idx="128">
                  <c:v>3.25</c:v>
                </c:pt>
                <c:pt idx="129">
                  <c:v>3.25</c:v>
                </c:pt>
                <c:pt idx="130">
                  <c:v>3.25</c:v>
                </c:pt>
                <c:pt idx="131">
                  <c:v>3.25</c:v>
                </c:pt>
                <c:pt idx="132">
                  <c:v>3.25</c:v>
                </c:pt>
                <c:pt idx="133">
                  <c:v>3.75</c:v>
                </c:pt>
                <c:pt idx="134">
                  <c:v>3.25</c:v>
                </c:pt>
                <c:pt idx="135">
                  <c:v>3.75</c:v>
                </c:pt>
                <c:pt idx="136">
                  <c:v>4.25</c:v>
                </c:pt>
                <c:pt idx="137">
                  <c:v>3.75</c:v>
                </c:pt>
                <c:pt idx="138">
                  <c:v>4.25</c:v>
                </c:pt>
                <c:pt idx="139">
                  <c:v>4.5</c:v>
                </c:pt>
                <c:pt idx="140">
                  <c:v>4.25</c:v>
                </c:pt>
                <c:pt idx="141">
                  <c:v>4.5</c:v>
                </c:pt>
                <c:pt idx="142">
                  <c:v>4.5</c:v>
                </c:pt>
                <c:pt idx="143">
                  <c:v>4.5</c:v>
                </c:pt>
                <c:pt idx="144">
                  <c:v>4.5</c:v>
                </c:pt>
                <c:pt idx="145">
                  <c:v>4.5</c:v>
                </c:pt>
                <c:pt idx="146">
                  <c:v>4.5</c:v>
                </c:pt>
                <c:pt idx="147">
                  <c:v>4.75</c:v>
                </c:pt>
                <c:pt idx="148">
                  <c:v>4.5</c:v>
                </c:pt>
                <c:pt idx="149">
                  <c:v>4.75</c:v>
                </c:pt>
                <c:pt idx="150">
                  <c:v>4.75</c:v>
                </c:pt>
                <c:pt idx="151">
                  <c:v>4.75</c:v>
                </c:pt>
                <c:pt idx="152">
                  <c:v>4.75</c:v>
                </c:pt>
                <c:pt idx="153">
                  <c:v>4.75</c:v>
                </c:pt>
                <c:pt idx="154">
                  <c:v>4.5</c:v>
                </c:pt>
                <c:pt idx="155">
                  <c:v>4.75</c:v>
                </c:pt>
                <c:pt idx="156">
                  <c:v>4.5</c:v>
                </c:pt>
                <c:pt idx="157">
                  <c:v>4.25</c:v>
                </c:pt>
                <c:pt idx="158">
                  <c:v>4.5</c:v>
                </c:pt>
                <c:pt idx="159">
                  <c:v>4.25</c:v>
                </c:pt>
                <c:pt idx="160">
                  <c:v>4.25</c:v>
                </c:pt>
                <c:pt idx="161">
                  <c:v>4.25</c:v>
                </c:pt>
                <c:pt idx="162">
                  <c:v>3.75</c:v>
                </c:pt>
                <c:pt idx="163">
                  <c:v>4.25</c:v>
                </c:pt>
                <c:pt idx="164">
                  <c:v>3.75</c:v>
                </c:pt>
                <c:pt idx="165">
                  <c:v>3.5</c:v>
                </c:pt>
                <c:pt idx="166">
                  <c:v>3.75</c:v>
                </c:pt>
                <c:pt idx="167">
                  <c:v>3.5</c:v>
                </c:pt>
                <c:pt idx="168">
                  <c:v>3.25</c:v>
                </c:pt>
                <c:pt idx="169">
                  <c:v>3.5</c:v>
                </c:pt>
                <c:pt idx="170">
                  <c:v>3.25</c:v>
                </c:pt>
                <c:pt idx="171">
                  <c:v>3.25</c:v>
                </c:pt>
                <c:pt idx="172">
                  <c:v>3</c:v>
                </c:pt>
                <c:pt idx="173">
                  <c:v>3.25</c:v>
                </c:pt>
                <c:pt idx="174">
                  <c:v>3</c:v>
                </c:pt>
                <c:pt idx="175">
                  <c:v>3</c:v>
                </c:pt>
                <c:pt idx="176">
                  <c:v>3</c:v>
                </c:pt>
                <c:pt idx="177">
                  <c:v>2.5</c:v>
                </c:pt>
                <c:pt idx="178">
                  <c:v>3</c:v>
                </c:pt>
                <c:pt idx="179">
                  <c:v>2.5</c:v>
                </c:pt>
                <c:pt idx="180">
                  <c:v>2.5</c:v>
                </c:pt>
                <c:pt idx="181">
                  <c:v>2.5</c:v>
                </c:pt>
                <c:pt idx="182">
                  <c:v>2.5</c:v>
                </c:pt>
                <c:pt idx="183">
                  <c:v>2.5</c:v>
                </c:pt>
                <c:pt idx="184">
                  <c:v>2.5</c:v>
                </c:pt>
                <c:pt idx="185">
                  <c:v>2.5</c:v>
                </c:pt>
                <c:pt idx="186">
                  <c:v>3</c:v>
                </c:pt>
                <c:pt idx="187">
                  <c:v>2.5</c:v>
                </c:pt>
                <c:pt idx="188">
                  <c:v>3</c:v>
                </c:pt>
                <c:pt idx="189">
                  <c:v>3</c:v>
                </c:pt>
                <c:pt idx="190">
                  <c:v>3</c:v>
                </c:pt>
                <c:pt idx="191">
                  <c:v>3</c:v>
                </c:pt>
              </c:numCache>
            </c:numRef>
          </c:val>
        </c:ser>
        <c:marker val="1"/>
        <c:axId val="94801280"/>
        <c:axId val="94840320"/>
      </c:lineChart>
      <c:dateAx>
        <c:axId val="94801280"/>
        <c:scaling>
          <c:orientation val="minMax"/>
        </c:scaling>
        <c:axPos val="b"/>
        <c:numFmt formatCode="yyyy" sourceLinked="0"/>
        <c:tickLblPos val="nextTo"/>
        <c:crossAx val="94840320"/>
        <c:crosses val="autoZero"/>
        <c:auto val="1"/>
        <c:lblOffset val="100"/>
        <c:majorUnit val="3"/>
        <c:majorTimeUnit val="years"/>
      </c:dateAx>
      <c:valAx>
        <c:axId val="94840320"/>
        <c:scaling>
          <c:orientation val="minMax"/>
        </c:scaling>
        <c:axPos val="l"/>
        <c:majorGridlines/>
        <c:numFmt formatCode="#,##0.0_);[Red]\(#,##0.0\)" sourceLinked="0"/>
        <c:tickLblPos val="nextTo"/>
        <c:crossAx val="948012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plotArea>
      <c:layout/>
      <c:barChart>
        <c:barDir val="col"/>
        <c:grouping val="clustered"/>
        <c:ser>
          <c:idx val="2"/>
          <c:order val="2"/>
          <c:tx>
            <c:strRef>
              <c:f>マクロデータ!$D$1</c:f>
              <c:strCache>
                <c:ptCount val="1"/>
                <c:pt idx="0">
                  <c:v>成長率（左目盛）</c:v>
                </c:pt>
              </c:strCache>
            </c:strRef>
          </c:tx>
          <c:spPr>
            <a:solidFill>
              <a:schemeClr val="bg1">
                <a:lumMod val="75000"/>
              </a:schemeClr>
            </a:solidFill>
          </c:spPr>
          <c:cat>
            <c:numRef>
              <c:f>マクロデータ!$A$2:$A$136</c:f>
              <c:numCache>
                <c:formatCode>yyyy"年"mm"月"</c:formatCode>
                <c:ptCount val="135"/>
                <c:pt idx="0">
                  <c:v>40238</c:v>
                </c:pt>
                <c:pt idx="1">
                  <c:v>40210</c:v>
                </c:pt>
                <c:pt idx="2">
                  <c:v>40179</c:v>
                </c:pt>
                <c:pt idx="3">
                  <c:v>40148</c:v>
                </c:pt>
                <c:pt idx="4">
                  <c:v>40118</c:v>
                </c:pt>
                <c:pt idx="5">
                  <c:v>40087</c:v>
                </c:pt>
                <c:pt idx="6">
                  <c:v>40057</c:v>
                </c:pt>
                <c:pt idx="7">
                  <c:v>40026</c:v>
                </c:pt>
                <c:pt idx="8">
                  <c:v>39995</c:v>
                </c:pt>
                <c:pt idx="9">
                  <c:v>39965</c:v>
                </c:pt>
                <c:pt idx="10">
                  <c:v>39934</c:v>
                </c:pt>
                <c:pt idx="11">
                  <c:v>39904</c:v>
                </c:pt>
                <c:pt idx="12">
                  <c:v>39873</c:v>
                </c:pt>
                <c:pt idx="13">
                  <c:v>39845</c:v>
                </c:pt>
                <c:pt idx="14">
                  <c:v>39814</c:v>
                </c:pt>
                <c:pt idx="15">
                  <c:v>39783</c:v>
                </c:pt>
                <c:pt idx="16">
                  <c:v>39753</c:v>
                </c:pt>
                <c:pt idx="17">
                  <c:v>39722</c:v>
                </c:pt>
                <c:pt idx="18">
                  <c:v>39692</c:v>
                </c:pt>
                <c:pt idx="19">
                  <c:v>39661</c:v>
                </c:pt>
                <c:pt idx="20">
                  <c:v>39630</c:v>
                </c:pt>
                <c:pt idx="21">
                  <c:v>39600</c:v>
                </c:pt>
                <c:pt idx="22">
                  <c:v>39569</c:v>
                </c:pt>
                <c:pt idx="23">
                  <c:v>39539</c:v>
                </c:pt>
                <c:pt idx="24">
                  <c:v>39508</c:v>
                </c:pt>
                <c:pt idx="25">
                  <c:v>39479</c:v>
                </c:pt>
                <c:pt idx="26" formatCode="yyyy">
                  <c:v>39448</c:v>
                </c:pt>
                <c:pt idx="27">
                  <c:v>39417</c:v>
                </c:pt>
                <c:pt idx="28">
                  <c:v>39387</c:v>
                </c:pt>
                <c:pt idx="29">
                  <c:v>39356</c:v>
                </c:pt>
                <c:pt idx="30">
                  <c:v>39326</c:v>
                </c:pt>
                <c:pt idx="31">
                  <c:v>39295</c:v>
                </c:pt>
                <c:pt idx="32">
                  <c:v>39264</c:v>
                </c:pt>
                <c:pt idx="33">
                  <c:v>39234</c:v>
                </c:pt>
                <c:pt idx="34">
                  <c:v>39203</c:v>
                </c:pt>
                <c:pt idx="35">
                  <c:v>39173</c:v>
                </c:pt>
                <c:pt idx="36">
                  <c:v>39142</c:v>
                </c:pt>
                <c:pt idx="37">
                  <c:v>39114</c:v>
                </c:pt>
                <c:pt idx="38">
                  <c:v>39083</c:v>
                </c:pt>
                <c:pt idx="39">
                  <c:v>39052</c:v>
                </c:pt>
                <c:pt idx="40">
                  <c:v>39022</c:v>
                </c:pt>
                <c:pt idx="41">
                  <c:v>38991</c:v>
                </c:pt>
                <c:pt idx="42">
                  <c:v>38961</c:v>
                </c:pt>
                <c:pt idx="43">
                  <c:v>38930</c:v>
                </c:pt>
                <c:pt idx="44">
                  <c:v>38899</c:v>
                </c:pt>
                <c:pt idx="45">
                  <c:v>38869</c:v>
                </c:pt>
                <c:pt idx="46">
                  <c:v>38838</c:v>
                </c:pt>
                <c:pt idx="47">
                  <c:v>38808</c:v>
                </c:pt>
                <c:pt idx="48">
                  <c:v>38777</c:v>
                </c:pt>
                <c:pt idx="49">
                  <c:v>38749</c:v>
                </c:pt>
                <c:pt idx="50">
                  <c:v>38718</c:v>
                </c:pt>
                <c:pt idx="51">
                  <c:v>38687</c:v>
                </c:pt>
                <c:pt idx="52">
                  <c:v>38657</c:v>
                </c:pt>
                <c:pt idx="53">
                  <c:v>38626</c:v>
                </c:pt>
                <c:pt idx="54">
                  <c:v>38596</c:v>
                </c:pt>
                <c:pt idx="55">
                  <c:v>38565</c:v>
                </c:pt>
                <c:pt idx="56">
                  <c:v>38534</c:v>
                </c:pt>
                <c:pt idx="57">
                  <c:v>38504</c:v>
                </c:pt>
                <c:pt idx="58">
                  <c:v>38473</c:v>
                </c:pt>
                <c:pt idx="59">
                  <c:v>38443</c:v>
                </c:pt>
                <c:pt idx="60">
                  <c:v>38412</c:v>
                </c:pt>
                <c:pt idx="61">
                  <c:v>38384</c:v>
                </c:pt>
                <c:pt idx="62">
                  <c:v>38353</c:v>
                </c:pt>
                <c:pt idx="63">
                  <c:v>38322</c:v>
                </c:pt>
                <c:pt idx="64">
                  <c:v>38292</c:v>
                </c:pt>
                <c:pt idx="65">
                  <c:v>38261</c:v>
                </c:pt>
                <c:pt idx="66">
                  <c:v>38231</c:v>
                </c:pt>
                <c:pt idx="67">
                  <c:v>38200</c:v>
                </c:pt>
                <c:pt idx="68">
                  <c:v>38169</c:v>
                </c:pt>
                <c:pt idx="69">
                  <c:v>38139</c:v>
                </c:pt>
                <c:pt idx="70">
                  <c:v>38108</c:v>
                </c:pt>
                <c:pt idx="71">
                  <c:v>38078</c:v>
                </c:pt>
                <c:pt idx="72">
                  <c:v>38047</c:v>
                </c:pt>
                <c:pt idx="73">
                  <c:v>38018</c:v>
                </c:pt>
                <c:pt idx="74">
                  <c:v>37987</c:v>
                </c:pt>
                <c:pt idx="75">
                  <c:v>37956</c:v>
                </c:pt>
                <c:pt idx="76">
                  <c:v>37926</c:v>
                </c:pt>
                <c:pt idx="77">
                  <c:v>37895</c:v>
                </c:pt>
                <c:pt idx="78">
                  <c:v>37865</c:v>
                </c:pt>
                <c:pt idx="79">
                  <c:v>37834</c:v>
                </c:pt>
                <c:pt idx="80">
                  <c:v>37803</c:v>
                </c:pt>
                <c:pt idx="81">
                  <c:v>37773</c:v>
                </c:pt>
                <c:pt idx="82">
                  <c:v>37742</c:v>
                </c:pt>
                <c:pt idx="83">
                  <c:v>37712</c:v>
                </c:pt>
                <c:pt idx="84">
                  <c:v>37681</c:v>
                </c:pt>
                <c:pt idx="85">
                  <c:v>37653</c:v>
                </c:pt>
                <c:pt idx="86">
                  <c:v>37622</c:v>
                </c:pt>
                <c:pt idx="87">
                  <c:v>37591</c:v>
                </c:pt>
                <c:pt idx="88">
                  <c:v>37561</c:v>
                </c:pt>
                <c:pt idx="89">
                  <c:v>37530</c:v>
                </c:pt>
                <c:pt idx="90">
                  <c:v>37500</c:v>
                </c:pt>
                <c:pt idx="91">
                  <c:v>37469</c:v>
                </c:pt>
                <c:pt idx="92">
                  <c:v>37438</c:v>
                </c:pt>
                <c:pt idx="93">
                  <c:v>37408</c:v>
                </c:pt>
                <c:pt idx="94">
                  <c:v>37377</c:v>
                </c:pt>
                <c:pt idx="95">
                  <c:v>37347</c:v>
                </c:pt>
                <c:pt idx="96">
                  <c:v>37316</c:v>
                </c:pt>
                <c:pt idx="97">
                  <c:v>37288</c:v>
                </c:pt>
                <c:pt idx="98">
                  <c:v>37257</c:v>
                </c:pt>
                <c:pt idx="99">
                  <c:v>37226</c:v>
                </c:pt>
                <c:pt idx="100">
                  <c:v>37196</c:v>
                </c:pt>
                <c:pt idx="101">
                  <c:v>37165</c:v>
                </c:pt>
                <c:pt idx="102">
                  <c:v>37135</c:v>
                </c:pt>
                <c:pt idx="103">
                  <c:v>37104</c:v>
                </c:pt>
                <c:pt idx="104">
                  <c:v>37073</c:v>
                </c:pt>
                <c:pt idx="105">
                  <c:v>37043</c:v>
                </c:pt>
                <c:pt idx="106">
                  <c:v>37012</c:v>
                </c:pt>
                <c:pt idx="107">
                  <c:v>36982</c:v>
                </c:pt>
                <c:pt idx="108">
                  <c:v>36951</c:v>
                </c:pt>
                <c:pt idx="109">
                  <c:v>36923</c:v>
                </c:pt>
                <c:pt idx="110">
                  <c:v>36892</c:v>
                </c:pt>
                <c:pt idx="111">
                  <c:v>36861</c:v>
                </c:pt>
                <c:pt idx="112">
                  <c:v>36831</c:v>
                </c:pt>
                <c:pt idx="113">
                  <c:v>36800</c:v>
                </c:pt>
                <c:pt idx="114">
                  <c:v>36770</c:v>
                </c:pt>
                <c:pt idx="115">
                  <c:v>36739</c:v>
                </c:pt>
                <c:pt idx="116">
                  <c:v>36708</c:v>
                </c:pt>
                <c:pt idx="117">
                  <c:v>36678</c:v>
                </c:pt>
                <c:pt idx="118">
                  <c:v>36647</c:v>
                </c:pt>
                <c:pt idx="119">
                  <c:v>36617</c:v>
                </c:pt>
                <c:pt idx="120">
                  <c:v>36586</c:v>
                </c:pt>
                <c:pt idx="121">
                  <c:v>36557</c:v>
                </c:pt>
                <c:pt idx="122">
                  <c:v>36526</c:v>
                </c:pt>
                <c:pt idx="123">
                  <c:v>36495</c:v>
                </c:pt>
                <c:pt idx="124">
                  <c:v>36465</c:v>
                </c:pt>
                <c:pt idx="125">
                  <c:v>36434</c:v>
                </c:pt>
                <c:pt idx="126">
                  <c:v>36404</c:v>
                </c:pt>
                <c:pt idx="127">
                  <c:v>36373</c:v>
                </c:pt>
                <c:pt idx="128">
                  <c:v>36342</c:v>
                </c:pt>
                <c:pt idx="129">
                  <c:v>36312</c:v>
                </c:pt>
                <c:pt idx="130">
                  <c:v>36281</c:v>
                </c:pt>
                <c:pt idx="131">
                  <c:v>36251</c:v>
                </c:pt>
                <c:pt idx="132">
                  <c:v>36220</c:v>
                </c:pt>
                <c:pt idx="133">
                  <c:v>36192</c:v>
                </c:pt>
                <c:pt idx="134">
                  <c:v>36161</c:v>
                </c:pt>
              </c:numCache>
            </c:numRef>
          </c:cat>
          <c:val>
            <c:numRef>
              <c:f>マクロデータ!$D$2:$D$136</c:f>
              <c:numCache>
                <c:formatCode>General</c:formatCode>
                <c:ptCount val="135"/>
                <c:pt idx="7">
                  <c:v>-4</c:v>
                </c:pt>
                <c:pt idx="8">
                  <c:v>-4</c:v>
                </c:pt>
                <c:pt idx="9">
                  <c:v>-4</c:v>
                </c:pt>
                <c:pt idx="10">
                  <c:v>-4</c:v>
                </c:pt>
                <c:pt idx="11">
                  <c:v>-4</c:v>
                </c:pt>
                <c:pt idx="19">
                  <c:v>0.8</c:v>
                </c:pt>
                <c:pt idx="20">
                  <c:v>0.8</c:v>
                </c:pt>
                <c:pt idx="21">
                  <c:v>0.8</c:v>
                </c:pt>
                <c:pt idx="22">
                  <c:v>0.8</c:v>
                </c:pt>
                <c:pt idx="23">
                  <c:v>0.8</c:v>
                </c:pt>
                <c:pt idx="31">
                  <c:v>2.6</c:v>
                </c:pt>
                <c:pt idx="32">
                  <c:v>2.6</c:v>
                </c:pt>
                <c:pt idx="33">
                  <c:v>2.6</c:v>
                </c:pt>
                <c:pt idx="34">
                  <c:v>2.6</c:v>
                </c:pt>
                <c:pt idx="35">
                  <c:v>2.6</c:v>
                </c:pt>
                <c:pt idx="43">
                  <c:v>2.9</c:v>
                </c:pt>
                <c:pt idx="44">
                  <c:v>2.9</c:v>
                </c:pt>
                <c:pt idx="45">
                  <c:v>2.9</c:v>
                </c:pt>
                <c:pt idx="46">
                  <c:v>2.9</c:v>
                </c:pt>
                <c:pt idx="47">
                  <c:v>2.9</c:v>
                </c:pt>
                <c:pt idx="55">
                  <c:v>1.7</c:v>
                </c:pt>
                <c:pt idx="56">
                  <c:v>1.7</c:v>
                </c:pt>
                <c:pt idx="57">
                  <c:v>1.7</c:v>
                </c:pt>
                <c:pt idx="58">
                  <c:v>1.7</c:v>
                </c:pt>
                <c:pt idx="59">
                  <c:v>1.7</c:v>
                </c:pt>
                <c:pt idx="67">
                  <c:v>2.1</c:v>
                </c:pt>
                <c:pt idx="68">
                  <c:v>2.1</c:v>
                </c:pt>
                <c:pt idx="69">
                  <c:v>2.1</c:v>
                </c:pt>
                <c:pt idx="70">
                  <c:v>2.1</c:v>
                </c:pt>
                <c:pt idx="71">
                  <c:v>2.1</c:v>
                </c:pt>
                <c:pt idx="79">
                  <c:v>0.8</c:v>
                </c:pt>
                <c:pt idx="80">
                  <c:v>0.8</c:v>
                </c:pt>
                <c:pt idx="81">
                  <c:v>0.8</c:v>
                </c:pt>
                <c:pt idx="82">
                  <c:v>0.8</c:v>
                </c:pt>
                <c:pt idx="83">
                  <c:v>0.8</c:v>
                </c:pt>
                <c:pt idx="91">
                  <c:v>0.9</c:v>
                </c:pt>
                <c:pt idx="92">
                  <c:v>0.9</c:v>
                </c:pt>
                <c:pt idx="93">
                  <c:v>0.9</c:v>
                </c:pt>
                <c:pt idx="94">
                  <c:v>0.9</c:v>
                </c:pt>
                <c:pt idx="95">
                  <c:v>0.9</c:v>
                </c:pt>
                <c:pt idx="103">
                  <c:v>1.9000000000000001</c:v>
                </c:pt>
                <c:pt idx="104">
                  <c:v>1.9000000000000001</c:v>
                </c:pt>
                <c:pt idx="105">
                  <c:v>1.9000000000000001</c:v>
                </c:pt>
                <c:pt idx="106">
                  <c:v>1.9000000000000001</c:v>
                </c:pt>
                <c:pt idx="107">
                  <c:v>1.9000000000000001</c:v>
                </c:pt>
                <c:pt idx="115">
                  <c:v>3.9</c:v>
                </c:pt>
                <c:pt idx="116">
                  <c:v>3.9</c:v>
                </c:pt>
                <c:pt idx="117">
                  <c:v>3.9</c:v>
                </c:pt>
                <c:pt idx="118">
                  <c:v>3.9</c:v>
                </c:pt>
                <c:pt idx="119">
                  <c:v>3.9</c:v>
                </c:pt>
                <c:pt idx="127">
                  <c:v>2.9</c:v>
                </c:pt>
                <c:pt idx="128">
                  <c:v>2.9</c:v>
                </c:pt>
                <c:pt idx="129">
                  <c:v>2.9</c:v>
                </c:pt>
                <c:pt idx="130">
                  <c:v>2.9</c:v>
                </c:pt>
                <c:pt idx="131">
                  <c:v>2.9</c:v>
                </c:pt>
              </c:numCache>
            </c:numRef>
          </c:val>
        </c:ser>
        <c:gapWidth val="0"/>
        <c:overlap val="100"/>
        <c:axId val="166722176"/>
        <c:axId val="200511872"/>
      </c:barChart>
      <c:lineChart>
        <c:grouping val="standard"/>
        <c:ser>
          <c:idx val="1"/>
          <c:order val="1"/>
          <c:tx>
            <c:strRef>
              <c:f>マクロデータ!$C$1</c:f>
              <c:strCache>
                <c:ptCount val="1"/>
                <c:pt idx="0">
                  <c:v>インフレ率（左目盛）</c:v>
                </c:pt>
              </c:strCache>
            </c:strRef>
          </c:tx>
          <c:spPr>
            <a:ln w="44450">
              <a:solidFill>
                <a:sysClr val="windowText" lastClr="000000"/>
              </a:solidFill>
            </a:ln>
          </c:spPr>
          <c:marker>
            <c:symbol val="none"/>
          </c:marker>
          <c:cat>
            <c:numRef>
              <c:f>マクロデータ!$A$2:$A$136</c:f>
              <c:numCache>
                <c:formatCode>yyyy"年"mm"月"</c:formatCode>
                <c:ptCount val="135"/>
                <c:pt idx="0">
                  <c:v>40238</c:v>
                </c:pt>
                <c:pt idx="1">
                  <c:v>40210</c:v>
                </c:pt>
                <c:pt idx="2">
                  <c:v>40179</c:v>
                </c:pt>
                <c:pt idx="3">
                  <c:v>40148</c:v>
                </c:pt>
                <c:pt idx="4">
                  <c:v>40118</c:v>
                </c:pt>
                <c:pt idx="5">
                  <c:v>40087</c:v>
                </c:pt>
                <c:pt idx="6">
                  <c:v>40057</c:v>
                </c:pt>
                <c:pt idx="7">
                  <c:v>40026</c:v>
                </c:pt>
                <c:pt idx="8">
                  <c:v>39995</c:v>
                </c:pt>
                <c:pt idx="9">
                  <c:v>39965</c:v>
                </c:pt>
                <c:pt idx="10">
                  <c:v>39934</c:v>
                </c:pt>
                <c:pt idx="11">
                  <c:v>39904</c:v>
                </c:pt>
                <c:pt idx="12">
                  <c:v>39873</c:v>
                </c:pt>
                <c:pt idx="13">
                  <c:v>39845</c:v>
                </c:pt>
                <c:pt idx="14">
                  <c:v>39814</c:v>
                </c:pt>
                <c:pt idx="15">
                  <c:v>39783</c:v>
                </c:pt>
                <c:pt idx="16">
                  <c:v>39753</c:v>
                </c:pt>
                <c:pt idx="17">
                  <c:v>39722</c:v>
                </c:pt>
                <c:pt idx="18">
                  <c:v>39692</c:v>
                </c:pt>
                <c:pt idx="19">
                  <c:v>39661</c:v>
                </c:pt>
                <c:pt idx="20">
                  <c:v>39630</c:v>
                </c:pt>
                <c:pt idx="21">
                  <c:v>39600</c:v>
                </c:pt>
                <c:pt idx="22">
                  <c:v>39569</c:v>
                </c:pt>
                <c:pt idx="23">
                  <c:v>39539</c:v>
                </c:pt>
                <c:pt idx="24">
                  <c:v>39508</c:v>
                </c:pt>
                <c:pt idx="25">
                  <c:v>39479</c:v>
                </c:pt>
                <c:pt idx="26" formatCode="yyyy">
                  <c:v>39448</c:v>
                </c:pt>
                <c:pt idx="27">
                  <c:v>39417</c:v>
                </c:pt>
                <c:pt idx="28">
                  <c:v>39387</c:v>
                </c:pt>
                <c:pt idx="29">
                  <c:v>39356</c:v>
                </c:pt>
                <c:pt idx="30">
                  <c:v>39326</c:v>
                </c:pt>
                <c:pt idx="31">
                  <c:v>39295</c:v>
                </c:pt>
                <c:pt idx="32">
                  <c:v>39264</c:v>
                </c:pt>
                <c:pt idx="33">
                  <c:v>39234</c:v>
                </c:pt>
                <c:pt idx="34">
                  <c:v>39203</c:v>
                </c:pt>
                <c:pt idx="35">
                  <c:v>39173</c:v>
                </c:pt>
                <c:pt idx="36">
                  <c:v>39142</c:v>
                </c:pt>
                <c:pt idx="37">
                  <c:v>39114</c:v>
                </c:pt>
                <c:pt idx="38">
                  <c:v>39083</c:v>
                </c:pt>
                <c:pt idx="39">
                  <c:v>39052</c:v>
                </c:pt>
                <c:pt idx="40">
                  <c:v>39022</c:v>
                </c:pt>
                <c:pt idx="41">
                  <c:v>38991</c:v>
                </c:pt>
                <c:pt idx="42">
                  <c:v>38961</c:v>
                </c:pt>
                <c:pt idx="43">
                  <c:v>38930</c:v>
                </c:pt>
                <c:pt idx="44">
                  <c:v>38899</c:v>
                </c:pt>
                <c:pt idx="45">
                  <c:v>38869</c:v>
                </c:pt>
                <c:pt idx="46">
                  <c:v>38838</c:v>
                </c:pt>
                <c:pt idx="47">
                  <c:v>38808</c:v>
                </c:pt>
                <c:pt idx="48">
                  <c:v>38777</c:v>
                </c:pt>
                <c:pt idx="49">
                  <c:v>38749</c:v>
                </c:pt>
                <c:pt idx="50">
                  <c:v>38718</c:v>
                </c:pt>
                <c:pt idx="51">
                  <c:v>38687</c:v>
                </c:pt>
                <c:pt idx="52">
                  <c:v>38657</c:v>
                </c:pt>
                <c:pt idx="53">
                  <c:v>38626</c:v>
                </c:pt>
                <c:pt idx="54">
                  <c:v>38596</c:v>
                </c:pt>
                <c:pt idx="55">
                  <c:v>38565</c:v>
                </c:pt>
                <c:pt idx="56">
                  <c:v>38534</c:v>
                </c:pt>
                <c:pt idx="57">
                  <c:v>38504</c:v>
                </c:pt>
                <c:pt idx="58">
                  <c:v>38473</c:v>
                </c:pt>
                <c:pt idx="59">
                  <c:v>38443</c:v>
                </c:pt>
                <c:pt idx="60">
                  <c:v>38412</c:v>
                </c:pt>
                <c:pt idx="61">
                  <c:v>38384</c:v>
                </c:pt>
                <c:pt idx="62">
                  <c:v>38353</c:v>
                </c:pt>
                <c:pt idx="63">
                  <c:v>38322</c:v>
                </c:pt>
                <c:pt idx="64">
                  <c:v>38292</c:v>
                </c:pt>
                <c:pt idx="65">
                  <c:v>38261</c:v>
                </c:pt>
                <c:pt idx="66">
                  <c:v>38231</c:v>
                </c:pt>
                <c:pt idx="67">
                  <c:v>38200</c:v>
                </c:pt>
                <c:pt idx="68">
                  <c:v>38169</c:v>
                </c:pt>
                <c:pt idx="69">
                  <c:v>38139</c:v>
                </c:pt>
                <c:pt idx="70">
                  <c:v>38108</c:v>
                </c:pt>
                <c:pt idx="71">
                  <c:v>38078</c:v>
                </c:pt>
                <c:pt idx="72">
                  <c:v>38047</c:v>
                </c:pt>
                <c:pt idx="73">
                  <c:v>38018</c:v>
                </c:pt>
                <c:pt idx="74">
                  <c:v>37987</c:v>
                </c:pt>
                <c:pt idx="75">
                  <c:v>37956</c:v>
                </c:pt>
                <c:pt idx="76">
                  <c:v>37926</c:v>
                </c:pt>
                <c:pt idx="77">
                  <c:v>37895</c:v>
                </c:pt>
                <c:pt idx="78">
                  <c:v>37865</c:v>
                </c:pt>
                <c:pt idx="79">
                  <c:v>37834</c:v>
                </c:pt>
                <c:pt idx="80">
                  <c:v>37803</c:v>
                </c:pt>
                <c:pt idx="81">
                  <c:v>37773</c:v>
                </c:pt>
                <c:pt idx="82">
                  <c:v>37742</c:v>
                </c:pt>
                <c:pt idx="83">
                  <c:v>37712</c:v>
                </c:pt>
                <c:pt idx="84">
                  <c:v>37681</c:v>
                </c:pt>
                <c:pt idx="85">
                  <c:v>37653</c:v>
                </c:pt>
                <c:pt idx="86">
                  <c:v>37622</c:v>
                </c:pt>
                <c:pt idx="87">
                  <c:v>37591</c:v>
                </c:pt>
                <c:pt idx="88">
                  <c:v>37561</c:v>
                </c:pt>
                <c:pt idx="89">
                  <c:v>37530</c:v>
                </c:pt>
                <c:pt idx="90">
                  <c:v>37500</c:v>
                </c:pt>
                <c:pt idx="91">
                  <c:v>37469</c:v>
                </c:pt>
                <c:pt idx="92">
                  <c:v>37438</c:v>
                </c:pt>
                <c:pt idx="93">
                  <c:v>37408</c:v>
                </c:pt>
                <c:pt idx="94">
                  <c:v>37377</c:v>
                </c:pt>
                <c:pt idx="95">
                  <c:v>37347</c:v>
                </c:pt>
                <c:pt idx="96">
                  <c:v>37316</c:v>
                </c:pt>
                <c:pt idx="97">
                  <c:v>37288</c:v>
                </c:pt>
                <c:pt idx="98">
                  <c:v>37257</c:v>
                </c:pt>
                <c:pt idx="99">
                  <c:v>37226</c:v>
                </c:pt>
                <c:pt idx="100">
                  <c:v>37196</c:v>
                </c:pt>
                <c:pt idx="101">
                  <c:v>37165</c:v>
                </c:pt>
                <c:pt idx="102">
                  <c:v>37135</c:v>
                </c:pt>
                <c:pt idx="103">
                  <c:v>37104</c:v>
                </c:pt>
                <c:pt idx="104">
                  <c:v>37073</c:v>
                </c:pt>
                <c:pt idx="105">
                  <c:v>37043</c:v>
                </c:pt>
                <c:pt idx="106">
                  <c:v>37012</c:v>
                </c:pt>
                <c:pt idx="107">
                  <c:v>36982</c:v>
                </c:pt>
                <c:pt idx="108">
                  <c:v>36951</c:v>
                </c:pt>
                <c:pt idx="109">
                  <c:v>36923</c:v>
                </c:pt>
                <c:pt idx="110">
                  <c:v>36892</c:v>
                </c:pt>
                <c:pt idx="111">
                  <c:v>36861</c:v>
                </c:pt>
                <c:pt idx="112">
                  <c:v>36831</c:v>
                </c:pt>
                <c:pt idx="113">
                  <c:v>36800</c:v>
                </c:pt>
                <c:pt idx="114">
                  <c:v>36770</c:v>
                </c:pt>
                <c:pt idx="115">
                  <c:v>36739</c:v>
                </c:pt>
                <c:pt idx="116">
                  <c:v>36708</c:v>
                </c:pt>
                <c:pt idx="117">
                  <c:v>36678</c:v>
                </c:pt>
                <c:pt idx="118">
                  <c:v>36647</c:v>
                </c:pt>
                <c:pt idx="119">
                  <c:v>36617</c:v>
                </c:pt>
                <c:pt idx="120">
                  <c:v>36586</c:v>
                </c:pt>
                <c:pt idx="121">
                  <c:v>36557</c:v>
                </c:pt>
                <c:pt idx="122">
                  <c:v>36526</c:v>
                </c:pt>
                <c:pt idx="123">
                  <c:v>36495</c:v>
                </c:pt>
                <c:pt idx="124">
                  <c:v>36465</c:v>
                </c:pt>
                <c:pt idx="125">
                  <c:v>36434</c:v>
                </c:pt>
                <c:pt idx="126">
                  <c:v>36404</c:v>
                </c:pt>
                <c:pt idx="127">
                  <c:v>36373</c:v>
                </c:pt>
                <c:pt idx="128">
                  <c:v>36342</c:v>
                </c:pt>
                <c:pt idx="129">
                  <c:v>36312</c:v>
                </c:pt>
                <c:pt idx="130">
                  <c:v>36281</c:v>
                </c:pt>
                <c:pt idx="131">
                  <c:v>36251</c:v>
                </c:pt>
                <c:pt idx="132">
                  <c:v>36220</c:v>
                </c:pt>
                <c:pt idx="133">
                  <c:v>36192</c:v>
                </c:pt>
                <c:pt idx="134">
                  <c:v>36161</c:v>
                </c:pt>
              </c:numCache>
            </c:numRef>
          </c:cat>
          <c:val>
            <c:numRef>
              <c:f>マクロデータ!$C$2:$C$136</c:f>
              <c:numCache>
                <c:formatCode>General</c:formatCode>
                <c:ptCount val="135"/>
                <c:pt idx="0">
                  <c:v>1.4</c:v>
                </c:pt>
                <c:pt idx="1">
                  <c:v>0.9</c:v>
                </c:pt>
                <c:pt idx="2">
                  <c:v>1</c:v>
                </c:pt>
                <c:pt idx="3">
                  <c:v>0.9</c:v>
                </c:pt>
                <c:pt idx="4">
                  <c:v>0.5</c:v>
                </c:pt>
                <c:pt idx="5">
                  <c:v>-0.1</c:v>
                </c:pt>
                <c:pt idx="6">
                  <c:v>-0.1</c:v>
                </c:pt>
                <c:pt idx="7">
                  <c:v>-0.2</c:v>
                </c:pt>
                <c:pt idx="8">
                  <c:v>-0.70000000000000062</c:v>
                </c:pt>
                <c:pt idx="9">
                  <c:v>-0.1</c:v>
                </c:pt>
                <c:pt idx="10">
                  <c:v>0</c:v>
                </c:pt>
                <c:pt idx="11">
                  <c:v>0.60000000000000064</c:v>
                </c:pt>
                <c:pt idx="12">
                  <c:v>0.60000000000000064</c:v>
                </c:pt>
                <c:pt idx="13">
                  <c:v>1.2</c:v>
                </c:pt>
                <c:pt idx="14">
                  <c:v>1.1000000000000001</c:v>
                </c:pt>
                <c:pt idx="15">
                  <c:v>1.6</c:v>
                </c:pt>
                <c:pt idx="16">
                  <c:v>2.1</c:v>
                </c:pt>
                <c:pt idx="17">
                  <c:v>3.2</c:v>
                </c:pt>
                <c:pt idx="18">
                  <c:v>3.6</c:v>
                </c:pt>
                <c:pt idx="19">
                  <c:v>3.8</c:v>
                </c:pt>
                <c:pt idx="20">
                  <c:v>4</c:v>
                </c:pt>
                <c:pt idx="21">
                  <c:v>4</c:v>
                </c:pt>
                <c:pt idx="22">
                  <c:v>3.7</c:v>
                </c:pt>
                <c:pt idx="23">
                  <c:v>3.3</c:v>
                </c:pt>
                <c:pt idx="24">
                  <c:v>3.6</c:v>
                </c:pt>
                <c:pt idx="25">
                  <c:v>3.3</c:v>
                </c:pt>
                <c:pt idx="26">
                  <c:v>3.2</c:v>
                </c:pt>
                <c:pt idx="27">
                  <c:v>3.1</c:v>
                </c:pt>
                <c:pt idx="28">
                  <c:v>3.1</c:v>
                </c:pt>
                <c:pt idx="29">
                  <c:v>2.6</c:v>
                </c:pt>
                <c:pt idx="30">
                  <c:v>2.1</c:v>
                </c:pt>
                <c:pt idx="31">
                  <c:v>1.7</c:v>
                </c:pt>
                <c:pt idx="32">
                  <c:v>1.8</c:v>
                </c:pt>
                <c:pt idx="33">
                  <c:v>1.9000000000000001</c:v>
                </c:pt>
                <c:pt idx="34">
                  <c:v>1.9000000000000001</c:v>
                </c:pt>
                <c:pt idx="35">
                  <c:v>1.9000000000000001</c:v>
                </c:pt>
                <c:pt idx="36">
                  <c:v>1.9000000000000001</c:v>
                </c:pt>
                <c:pt idx="37">
                  <c:v>1.8</c:v>
                </c:pt>
                <c:pt idx="38">
                  <c:v>1.8</c:v>
                </c:pt>
                <c:pt idx="39">
                  <c:v>1.9000000000000001</c:v>
                </c:pt>
                <c:pt idx="40">
                  <c:v>1.9000000000000001</c:v>
                </c:pt>
                <c:pt idx="41">
                  <c:v>1.6</c:v>
                </c:pt>
                <c:pt idx="42">
                  <c:v>1.7</c:v>
                </c:pt>
                <c:pt idx="43">
                  <c:v>2.2999999999999998</c:v>
                </c:pt>
                <c:pt idx="44">
                  <c:v>2.4</c:v>
                </c:pt>
                <c:pt idx="45">
                  <c:v>2.5</c:v>
                </c:pt>
                <c:pt idx="46">
                  <c:v>2.5</c:v>
                </c:pt>
                <c:pt idx="47">
                  <c:v>2.5</c:v>
                </c:pt>
                <c:pt idx="48">
                  <c:v>2.2000000000000002</c:v>
                </c:pt>
                <c:pt idx="49">
                  <c:v>2.2999999999999998</c:v>
                </c:pt>
                <c:pt idx="50">
                  <c:v>2.4</c:v>
                </c:pt>
                <c:pt idx="51">
                  <c:v>2.2000000000000002</c:v>
                </c:pt>
                <c:pt idx="52">
                  <c:v>2.2999999999999998</c:v>
                </c:pt>
                <c:pt idx="53">
                  <c:v>2.5</c:v>
                </c:pt>
                <c:pt idx="54">
                  <c:v>2.6</c:v>
                </c:pt>
                <c:pt idx="55">
                  <c:v>2.2000000000000002</c:v>
                </c:pt>
                <c:pt idx="56">
                  <c:v>2.2000000000000002</c:v>
                </c:pt>
                <c:pt idx="57">
                  <c:v>2.1</c:v>
                </c:pt>
                <c:pt idx="58">
                  <c:v>2</c:v>
                </c:pt>
                <c:pt idx="59">
                  <c:v>2.1</c:v>
                </c:pt>
                <c:pt idx="60">
                  <c:v>2.1</c:v>
                </c:pt>
                <c:pt idx="61">
                  <c:v>2.1</c:v>
                </c:pt>
                <c:pt idx="62">
                  <c:v>1.9000000000000001</c:v>
                </c:pt>
                <c:pt idx="63">
                  <c:v>2.4</c:v>
                </c:pt>
                <c:pt idx="64">
                  <c:v>2.2000000000000002</c:v>
                </c:pt>
                <c:pt idx="65">
                  <c:v>2.4</c:v>
                </c:pt>
                <c:pt idx="66">
                  <c:v>2.1</c:v>
                </c:pt>
                <c:pt idx="67">
                  <c:v>2.2999999999999998</c:v>
                </c:pt>
                <c:pt idx="68">
                  <c:v>2.2999999999999998</c:v>
                </c:pt>
                <c:pt idx="69">
                  <c:v>2.4</c:v>
                </c:pt>
                <c:pt idx="70">
                  <c:v>2.5</c:v>
                </c:pt>
                <c:pt idx="71">
                  <c:v>2</c:v>
                </c:pt>
                <c:pt idx="72">
                  <c:v>1.7</c:v>
                </c:pt>
                <c:pt idx="73">
                  <c:v>1.6</c:v>
                </c:pt>
                <c:pt idx="74">
                  <c:v>1.9000000000000001</c:v>
                </c:pt>
                <c:pt idx="75">
                  <c:v>2</c:v>
                </c:pt>
                <c:pt idx="76">
                  <c:v>2.2000000000000002</c:v>
                </c:pt>
                <c:pt idx="77">
                  <c:v>2</c:v>
                </c:pt>
                <c:pt idx="78">
                  <c:v>2.2000000000000002</c:v>
                </c:pt>
                <c:pt idx="79">
                  <c:v>2.1</c:v>
                </c:pt>
                <c:pt idx="80">
                  <c:v>1.9000000000000001</c:v>
                </c:pt>
                <c:pt idx="81">
                  <c:v>1.9000000000000001</c:v>
                </c:pt>
                <c:pt idx="82">
                  <c:v>1.8</c:v>
                </c:pt>
                <c:pt idx="83">
                  <c:v>2.1</c:v>
                </c:pt>
                <c:pt idx="84">
                  <c:v>2.5</c:v>
                </c:pt>
                <c:pt idx="85">
                  <c:v>2.4</c:v>
                </c:pt>
                <c:pt idx="86">
                  <c:v>2.1</c:v>
                </c:pt>
                <c:pt idx="87">
                  <c:v>2.2999999999999998</c:v>
                </c:pt>
                <c:pt idx="88">
                  <c:v>2.2999999999999998</c:v>
                </c:pt>
                <c:pt idx="89">
                  <c:v>2.2999999999999998</c:v>
                </c:pt>
                <c:pt idx="90">
                  <c:v>2.1</c:v>
                </c:pt>
                <c:pt idx="91">
                  <c:v>2.1</c:v>
                </c:pt>
                <c:pt idx="92">
                  <c:v>2</c:v>
                </c:pt>
                <c:pt idx="93">
                  <c:v>1.9000000000000001</c:v>
                </c:pt>
                <c:pt idx="94">
                  <c:v>2</c:v>
                </c:pt>
                <c:pt idx="95">
                  <c:v>2.2999999999999998</c:v>
                </c:pt>
                <c:pt idx="96">
                  <c:v>2.5</c:v>
                </c:pt>
                <c:pt idx="97">
                  <c:v>2.5</c:v>
                </c:pt>
                <c:pt idx="98">
                  <c:v>2.6</c:v>
                </c:pt>
                <c:pt idx="99">
                  <c:v>2</c:v>
                </c:pt>
                <c:pt idx="100">
                  <c:v>2</c:v>
                </c:pt>
                <c:pt idx="101">
                  <c:v>2.2000000000000002</c:v>
                </c:pt>
                <c:pt idx="102">
                  <c:v>2.2000000000000002</c:v>
                </c:pt>
                <c:pt idx="103">
                  <c:v>2.2999999999999998</c:v>
                </c:pt>
                <c:pt idx="104">
                  <c:v>2.6</c:v>
                </c:pt>
                <c:pt idx="105">
                  <c:v>2.8</c:v>
                </c:pt>
                <c:pt idx="106">
                  <c:v>3.1</c:v>
                </c:pt>
                <c:pt idx="107">
                  <c:v>2.7</c:v>
                </c:pt>
                <c:pt idx="108">
                  <c:v>2.2000000000000002</c:v>
                </c:pt>
                <c:pt idx="109">
                  <c:v>1.9000000000000001</c:v>
                </c:pt>
                <c:pt idx="110">
                  <c:v>2</c:v>
                </c:pt>
                <c:pt idx="111">
                  <c:v>2.5</c:v>
                </c:pt>
                <c:pt idx="112">
                  <c:v>2.5</c:v>
                </c:pt>
                <c:pt idx="113">
                  <c:v>2.4</c:v>
                </c:pt>
                <c:pt idx="114">
                  <c:v>2.5</c:v>
                </c:pt>
                <c:pt idx="115">
                  <c:v>2</c:v>
                </c:pt>
                <c:pt idx="116">
                  <c:v>2</c:v>
                </c:pt>
                <c:pt idx="117">
                  <c:v>2.1</c:v>
                </c:pt>
                <c:pt idx="118">
                  <c:v>1.7</c:v>
                </c:pt>
                <c:pt idx="119">
                  <c:v>1.7</c:v>
                </c:pt>
                <c:pt idx="120">
                  <c:v>1.9000000000000001</c:v>
                </c:pt>
                <c:pt idx="121">
                  <c:v>1.9000000000000001</c:v>
                </c:pt>
                <c:pt idx="122">
                  <c:v>1.9000000000000001</c:v>
                </c:pt>
                <c:pt idx="123">
                  <c:v>1.7</c:v>
                </c:pt>
                <c:pt idx="124">
                  <c:v>1.5</c:v>
                </c:pt>
                <c:pt idx="125">
                  <c:v>1.4</c:v>
                </c:pt>
                <c:pt idx="126">
                  <c:v>1.2</c:v>
                </c:pt>
                <c:pt idx="127">
                  <c:v>1.2</c:v>
                </c:pt>
                <c:pt idx="128">
                  <c:v>1.1000000000000001</c:v>
                </c:pt>
                <c:pt idx="129">
                  <c:v>0.9</c:v>
                </c:pt>
                <c:pt idx="130">
                  <c:v>1</c:v>
                </c:pt>
                <c:pt idx="131">
                  <c:v>1.1000000000000001</c:v>
                </c:pt>
                <c:pt idx="132">
                  <c:v>1</c:v>
                </c:pt>
                <c:pt idx="133">
                  <c:v>0.8</c:v>
                </c:pt>
                <c:pt idx="134">
                  <c:v>0.8</c:v>
                </c:pt>
              </c:numCache>
            </c:numRef>
          </c:val>
        </c:ser>
        <c:marker val="1"/>
        <c:axId val="166722176"/>
        <c:axId val="200511872"/>
      </c:lineChart>
      <c:lineChart>
        <c:grouping val="standard"/>
        <c:ser>
          <c:idx val="0"/>
          <c:order val="0"/>
          <c:tx>
            <c:strRef>
              <c:f>マクロデータ!$B$1</c:f>
              <c:strCache>
                <c:ptCount val="1"/>
                <c:pt idx="0">
                  <c:v>マネーサプライ（右目盛）</c:v>
                </c:pt>
              </c:strCache>
            </c:strRef>
          </c:tx>
          <c:spPr>
            <a:ln w="38100">
              <a:solidFill>
                <a:sysClr val="windowText" lastClr="000000"/>
              </a:solidFill>
              <a:prstDash val="sysDot"/>
            </a:ln>
          </c:spPr>
          <c:marker>
            <c:symbol val="none"/>
          </c:marker>
          <c:cat>
            <c:numRef>
              <c:f>マクロデータ!$A$2:$A$136</c:f>
              <c:numCache>
                <c:formatCode>yyyy"年"mm"月"</c:formatCode>
                <c:ptCount val="135"/>
                <c:pt idx="0">
                  <c:v>40238</c:v>
                </c:pt>
                <c:pt idx="1">
                  <c:v>40210</c:v>
                </c:pt>
                <c:pt idx="2">
                  <c:v>40179</c:v>
                </c:pt>
                <c:pt idx="3">
                  <c:v>40148</c:v>
                </c:pt>
                <c:pt idx="4">
                  <c:v>40118</c:v>
                </c:pt>
                <c:pt idx="5">
                  <c:v>40087</c:v>
                </c:pt>
                <c:pt idx="6">
                  <c:v>40057</c:v>
                </c:pt>
                <c:pt idx="7">
                  <c:v>40026</c:v>
                </c:pt>
                <c:pt idx="8">
                  <c:v>39995</c:v>
                </c:pt>
                <c:pt idx="9">
                  <c:v>39965</c:v>
                </c:pt>
                <c:pt idx="10">
                  <c:v>39934</c:v>
                </c:pt>
                <c:pt idx="11">
                  <c:v>39904</c:v>
                </c:pt>
                <c:pt idx="12">
                  <c:v>39873</c:v>
                </c:pt>
                <c:pt idx="13">
                  <c:v>39845</c:v>
                </c:pt>
                <c:pt idx="14">
                  <c:v>39814</c:v>
                </c:pt>
                <c:pt idx="15">
                  <c:v>39783</c:v>
                </c:pt>
                <c:pt idx="16">
                  <c:v>39753</c:v>
                </c:pt>
                <c:pt idx="17">
                  <c:v>39722</c:v>
                </c:pt>
                <c:pt idx="18">
                  <c:v>39692</c:v>
                </c:pt>
                <c:pt idx="19">
                  <c:v>39661</c:v>
                </c:pt>
                <c:pt idx="20">
                  <c:v>39630</c:v>
                </c:pt>
                <c:pt idx="21">
                  <c:v>39600</c:v>
                </c:pt>
                <c:pt idx="22">
                  <c:v>39569</c:v>
                </c:pt>
                <c:pt idx="23">
                  <c:v>39539</c:v>
                </c:pt>
                <c:pt idx="24">
                  <c:v>39508</c:v>
                </c:pt>
                <c:pt idx="25">
                  <c:v>39479</c:v>
                </c:pt>
                <c:pt idx="26" formatCode="yyyy">
                  <c:v>39448</c:v>
                </c:pt>
                <c:pt idx="27">
                  <c:v>39417</c:v>
                </c:pt>
                <c:pt idx="28">
                  <c:v>39387</c:v>
                </c:pt>
                <c:pt idx="29">
                  <c:v>39356</c:v>
                </c:pt>
                <c:pt idx="30">
                  <c:v>39326</c:v>
                </c:pt>
                <c:pt idx="31">
                  <c:v>39295</c:v>
                </c:pt>
                <c:pt idx="32">
                  <c:v>39264</c:v>
                </c:pt>
                <c:pt idx="33">
                  <c:v>39234</c:v>
                </c:pt>
                <c:pt idx="34">
                  <c:v>39203</c:v>
                </c:pt>
                <c:pt idx="35">
                  <c:v>39173</c:v>
                </c:pt>
                <c:pt idx="36">
                  <c:v>39142</c:v>
                </c:pt>
                <c:pt idx="37">
                  <c:v>39114</c:v>
                </c:pt>
                <c:pt idx="38">
                  <c:v>39083</c:v>
                </c:pt>
                <c:pt idx="39">
                  <c:v>39052</c:v>
                </c:pt>
                <c:pt idx="40">
                  <c:v>39022</c:v>
                </c:pt>
                <c:pt idx="41">
                  <c:v>38991</c:v>
                </c:pt>
                <c:pt idx="42">
                  <c:v>38961</c:v>
                </c:pt>
                <c:pt idx="43">
                  <c:v>38930</c:v>
                </c:pt>
                <c:pt idx="44">
                  <c:v>38899</c:v>
                </c:pt>
                <c:pt idx="45">
                  <c:v>38869</c:v>
                </c:pt>
                <c:pt idx="46">
                  <c:v>38838</c:v>
                </c:pt>
                <c:pt idx="47">
                  <c:v>38808</c:v>
                </c:pt>
                <c:pt idx="48">
                  <c:v>38777</c:v>
                </c:pt>
                <c:pt idx="49">
                  <c:v>38749</c:v>
                </c:pt>
                <c:pt idx="50">
                  <c:v>38718</c:v>
                </c:pt>
                <c:pt idx="51">
                  <c:v>38687</c:v>
                </c:pt>
                <c:pt idx="52">
                  <c:v>38657</c:v>
                </c:pt>
                <c:pt idx="53">
                  <c:v>38626</c:v>
                </c:pt>
                <c:pt idx="54">
                  <c:v>38596</c:v>
                </c:pt>
                <c:pt idx="55">
                  <c:v>38565</c:v>
                </c:pt>
                <c:pt idx="56">
                  <c:v>38534</c:v>
                </c:pt>
                <c:pt idx="57">
                  <c:v>38504</c:v>
                </c:pt>
                <c:pt idx="58">
                  <c:v>38473</c:v>
                </c:pt>
                <c:pt idx="59">
                  <c:v>38443</c:v>
                </c:pt>
                <c:pt idx="60">
                  <c:v>38412</c:v>
                </c:pt>
                <c:pt idx="61">
                  <c:v>38384</c:v>
                </c:pt>
                <c:pt idx="62">
                  <c:v>38353</c:v>
                </c:pt>
                <c:pt idx="63">
                  <c:v>38322</c:v>
                </c:pt>
                <c:pt idx="64">
                  <c:v>38292</c:v>
                </c:pt>
                <c:pt idx="65">
                  <c:v>38261</c:v>
                </c:pt>
                <c:pt idx="66">
                  <c:v>38231</c:v>
                </c:pt>
                <c:pt idx="67">
                  <c:v>38200</c:v>
                </c:pt>
                <c:pt idx="68">
                  <c:v>38169</c:v>
                </c:pt>
                <c:pt idx="69">
                  <c:v>38139</c:v>
                </c:pt>
                <c:pt idx="70">
                  <c:v>38108</c:v>
                </c:pt>
                <c:pt idx="71">
                  <c:v>38078</c:v>
                </c:pt>
                <c:pt idx="72">
                  <c:v>38047</c:v>
                </c:pt>
                <c:pt idx="73">
                  <c:v>38018</c:v>
                </c:pt>
                <c:pt idx="74">
                  <c:v>37987</c:v>
                </c:pt>
                <c:pt idx="75">
                  <c:v>37956</c:v>
                </c:pt>
                <c:pt idx="76">
                  <c:v>37926</c:v>
                </c:pt>
                <c:pt idx="77">
                  <c:v>37895</c:v>
                </c:pt>
                <c:pt idx="78">
                  <c:v>37865</c:v>
                </c:pt>
                <c:pt idx="79">
                  <c:v>37834</c:v>
                </c:pt>
                <c:pt idx="80">
                  <c:v>37803</c:v>
                </c:pt>
                <c:pt idx="81">
                  <c:v>37773</c:v>
                </c:pt>
                <c:pt idx="82">
                  <c:v>37742</c:v>
                </c:pt>
                <c:pt idx="83">
                  <c:v>37712</c:v>
                </c:pt>
                <c:pt idx="84">
                  <c:v>37681</c:v>
                </c:pt>
                <c:pt idx="85">
                  <c:v>37653</c:v>
                </c:pt>
                <c:pt idx="86">
                  <c:v>37622</c:v>
                </c:pt>
                <c:pt idx="87">
                  <c:v>37591</c:v>
                </c:pt>
                <c:pt idx="88">
                  <c:v>37561</c:v>
                </c:pt>
                <c:pt idx="89">
                  <c:v>37530</c:v>
                </c:pt>
                <c:pt idx="90">
                  <c:v>37500</c:v>
                </c:pt>
                <c:pt idx="91">
                  <c:v>37469</c:v>
                </c:pt>
                <c:pt idx="92">
                  <c:v>37438</c:v>
                </c:pt>
                <c:pt idx="93">
                  <c:v>37408</c:v>
                </c:pt>
                <c:pt idx="94">
                  <c:v>37377</c:v>
                </c:pt>
                <c:pt idx="95">
                  <c:v>37347</c:v>
                </c:pt>
                <c:pt idx="96">
                  <c:v>37316</c:v>
                </c:pt>
                <c:pt idx="97">
                  <c:v>37288</c:v>
                </c:pt>
                <c:pt idx="98">
                  <c:v>37257</c:v>
                </c:pt>
                <c:pt idx="99">
                  <c:v>37226</c:v>
                </c:pt>
                <c:pt idx="100">
                  <c:v>37196</c:v>
                </c:pt>
                <c:pt idx="101">
                  <c:v>37165</c:v>
                </c:pt>
                <c:pt idx="102">
                  <c:v>37135</c:v>
                </c:pt>
                <c:pt idx="103">
                  <c:v>37104</c:v>
                </c:pt>
                <c:pt idx="104">
                  <c:v>37073</c:v>
                </c:pt>
                <c:pt idx="105">
                  <c:v>37043</c:v>
                </c:pt>
                <c:pt idx="106">
                  <c:v>37012</c:v>
                </c:pt>
                <c:pt idx="107">
                  <c:v>36982</c:v>
                </c:pt>
                <c:pt idx="108">
                  <c:v>36951</c:v>
                </c:pt>
                <c:pt idx="109">
                  <c:v>36923</c:v>
                </c:pt>
                <c:pt idx="110">
                  <c:v>36892</c:v>
                </c:pt>
                <c:pt idx="111">
                  <c:v>36861</c:v>
                </c:pt>
                <c:pt idx="112">
                  <c:v>36831</c:v>
                </c:pt>
                <c:pt idx="113">
                  <c:v>36800</c:v>
                </c:pt>
                <c:pt idx="114">
                  <c:v>36770</c:v>
                </c:pt>
                <c:pt idx="115">
                  <c:v>36739</c:v>
                </c:pt>
                <c:pt idx="116">
                  <c:v>36708</c:v>
                </c:pt>
                <c:pt idx="117">
                  <c:v>36678</c:v>
                </c:pt>
                <c:pt idx="118">
                  <c:v>36647</c:v>
                </c:pt>
                <c:pt idx="119">
                  <c:v>36617</c:v>
                </c:pt>
                <c:pt idx="120">
                  <c:v>36586</c:v>
                </c:pt>
                <c:pt idx="121">
                  <c:v>36557</c:v>
                </c:pt>
                <c:pt idx="122">
                  <c:v>36526</c:v>
                </c:pt>
                <c:pt idx="123">
                  <c:v>36495</c:v>
                </c:pt>
                <c:pt idx="124">
                  <c:v>36465</c:v>
                </c:pt>
                <c:pt idx="125">
                  <c:v>36434</c:v>
                </c:pt>
                <c:pt idx="126">
                  <c:v>36404</c:v>
                </c:pt>
                <c:pt idx="127">
                  <c:v>36373</c:v>
                </c:pt>
                <c:pt idx="128">
                  <c:v>36342</c:v>
                </c:pt>
                <c:pt idx="129">
                  <c:v>36312</c:v>
                </c:pt>
                <c:pt idx="130">
                  <c:v>36281</c:v>
                </c:pt>
                <c:pt idx="131">
                  <c:v>36251</c:v>
                </c:pt>
                <c:pt idx="132">
                  <c:v>36220</c:v>
                </c:pt>
                <c:pt idx="133">
                  <c:v>36192</c:v>
                </c:pt>
                <c:pt idx="134">
                  <c:v>36161</c:v>
                </c:pt>
              </c:numCache>
            </c:numRef>
          </c:cat>
          <c:val>
            <c:numRef>
              <c:f>マクロデータ!$B$2:$B$136</c:f>
              <c:numCache>
                <c:formatCode>General</c:formatCode>
                <c:ptCount val="135"/>
                <c:pt idx="0">
                  <c:v>-0.1</c:v>
                </c:pt>
                <c:pt idx="1">
                  <c:v>-0.30000000000000032</c:v>
                </c:pt>
                <c:pt idx="2">
                  <c:v>0.1</c:v>
                </c:pt>
                <c:pt idx="3">
                  <c:v>-0.2</c:v>
                </c:pt>
                <c:pt idx="4">
                  <c:v>-0.30000000000000032</c:v>
                </c:pt>
                <c:pt idx="5">
                  <c:v>0.30000000000000032</c:v>
                </c:pt>
                <c:pt idx="6">
                  <c:v>1.8</c:v>
                </c:pt>
                <c:pt idx="7">
                  <c:v>2.6</c:v>
                </c:pt>
                <c:pt idx="8">
                  <c:v>3</c:v>
                </c:pt>
                <c:pt idx="9">
                  <c:v>3.6</c:v>
                </c:pt>
                <c:pt idx="10">
                  <c:v>3.8</c:v>
                </c:pt>
                <c:pt idx="11">
                  <c:v>4.9000000000000004</c:v>
                </c:pt>
                <c:pt idx="12">
                  <c:v>5.0999999999999996</c:v>
                </c:pt>
                <c:pt idx="13">
                  <c:v>5.8</c:v>
                </c:pt>
                <c:pt idx="14">
                  <c:v>6</c:v>
                </c:pt>
                <c:pt idx="15">
                  <c:v>7.5</c:v>
                </c:pt>
                <c:pt idx="16">
                  <c:v>7.7</c:v>
                </c:pt>
                <c:pt idx="17">
                  <c:v>8.7000000000000011</c:v>
                </c:pt>
                <c:pt idx="18">
                  <c:v>8.7000000000000011</c:v>
                </c:pt>
                <c:pt idx="19">
                  <c:v>8.9</c:v>
                </c:pt>
                <c:pt idx="20">
                  <c:v>9.3000000000000007</c:v>
                </c:pt>
                <c:pt idx="21">
                  <c:v>9.7000000000000011</c:v>
                </c:pt>
                <c:pt idx="22">
                  <c:v>10.1</c:v>
                </c:pt>
                <c:pt idx="23">
                  <c:v>10.5</c:v>
                </c:pt>
                <c:pt idx="24">
                  <c:v>10.1</c:v>
                </c:pt>
                <c:pt idx="25">
                  <c:v>11.5</c:v>
                </c:pt>
                <c:pt idx="26">
                  <c:v>11.6</c:v>
                </c:pt>
                <c:pt idx="27">
                  <c:v>11.6</c:v>
                </c:pt>
                <c:pt idx="28">
                  <c:v>12.4</c:v>
                </c:pt>
                <c:pt idx="29">
                  <c:v>12.5</c:v>
                </c:pt>
                <c:pt idx="30">
                  <c:v>11.4</c:v>
                </c:pt>
                <c:pt idx="31">
                  <c:v>11.7</c:v>
                </c:pt>
                <c:pt idx="32">
                  <c:v>11.9</c:v>
                </c:pt>
                <c:pt idx="33">
                  <c:v>11</c:v>
                </c:pt>
                <c:pt idx="34">
                  <c:v>10.7</c:v>
                </c:pt>
                <c:pt idx="35">
                  <c:v>10.3</c:v>
                </c:pt>
                <c:pt idx="36">
                  <c:v>11</c:v>
                </c:pt>
                <c:pt idx="37">
                  <c:v>10.200000000000001</c:v>
                </c:pt>
                <c:pt idx="38">
                  <c:v>10.200000000000001</c:v>
                </c:pt>
                <c:pt idx="39">
                  <c:v>9.9</c:v>
                </c:pt>
                <c:pt idx="40">
                  <c:v>9.3000000000000007</c:v>
                </c:pt>
                <c:pt idx="41">
                  <c:v>8.5</c:v>
                </c:pt>
                <c:pt idx="42">
                  <c:v>8.4</c:v>
                </c:pt>
                <c:pt idx="43">
                  <c:v>8.2000000000000011</c:v>
                </c:pt>
                <c:pt idx="44">
                  <c:v>7.8</c:v>
                </c:pt>
                <c:pt idx="45">
                  <c:v>8.4</c:v>
                </c:pt>
                <c:pt idx="46">
                  <c:v>8.8000000000000007</c:v>
                </c:pt>
                <c:pt idx="47">
                  <c:v>8.8000000000000007</c:v>
                </c:pt>
                <c:pt idx="48">
                  <c:v>8.3000000000000007</c:v>
                </c:pt>
                <c:pt idx="49">
                  <c:v>7.8</c:v>
                </c:pt>
                <c:pt idx="50">
                  <c:v>7.4</c:v>
                </c:pt>
                <c:pt idx="51">
                  <c:v>7.4</c:v>
                </c:pt>
                <c:pt idx="52">
                  <c:v>7.6</c:v>
                </c:pt>
                <c:pt idx="53">
                  <c:v>8</c:v>
                </c:pt>
                <c:pt idx="54">
                  <c:v>8.3000000000000007</c:v>
                </c:pt>
                <c:pt idx="55">
                  <c:v>8.2000000000000011</c:v>
                </c:pt>
                <c:pt idx="56">
                  <c:v>7.9</c:v>
                </c:pt>
                <c:pt idx="57">
                  <c:v>7.6</c:v>
                </c:pt>
                <c:pt idx="58">
                  <c:v>7.3</c:v>
                </c:pt>
                <c:pt idx="59">
                  <c:v>6.8</c:v>
                </c:pt>
                <c:pt idx="60">
                  <c:v>6.4</c:v>
                </c:pt>
                <c:pt idx="61">
                  <c:v>6.7</c:v>
                </c:pt>
                <c:pt idx="62">
                  <c:v>6.8</c:v>
                </c:pt>
                <c:pt idx="63">
                  <c:v>6.6</c:v>
                </c:pt>
                <c:pt idx="64">
                  <c:v>6</c:v>
                </c:pt>
                <c:pt idx="65">
                  <c:v>5.8</c:v>
                </c:pt>
                <c:pt idx="66">
                  <c:v>6</c:v>
                </c:pt>
                <c:pt idx="67">
                  <c:v>5.5</c:v>
                </c:pt>
                <c:pt idx="68">
                  <c:v>5.4</c:v>
                </c:pt>
                <c:pt idx="69">
                  <c:v>5.3</c:v>
                </c:pt>
                <c:pt idx="70">
                  <c:v>5</c:v>
                </c:pt>
                <c:pt idx="71">
                  <c:v>5.4</c:v>
                </c:pt>
                <c:pt idx="72">
                  <c:v>6.2</c:v>
                </c:pt>
                <c:pt idx="73">
                  <c:v>6.2</c:v>
                </c:pt>
                <c:pt idx="74">
                  <c:v>6.5</c:v>
                </c:pt>
                <c:pt idx="75">
                  <c:v>7.1</c:v>
                </c:pt>
                <c:pt idx="76">
                  <c:v>7.4</c:v>
                </c:pt>
                <c:pt idx="77">
                  <c:v>8</c:v>
                </c:pt>
                <c:pt idx="78">
                  <c:v>7.5</c:v>
                </c:pt>
                <c:pt idx="79">
                  <c:v>8.4</c:v>
                </c:pt>
                <c:pt idx="80">
                  <c:v>8.8000000000000007</c:v>
                </c:pt>
                <c:pt idx="81">
                  <c:v>8.6</c:v>
                </c:pt>
                <c:pt idx="82">
                  <c:v>8.7000000000000011</c:v>
                </c:pt>
                <c:pt idx="83">
                  <c:v>8.9</c:v>
                </c:pt>
                <c:pt idx="84">
                  <c:v>8.2000000000000011</c:v>
                </c:pt>
                <c:pt idx="85">
                  <c:v>8.1</c:v>
                </c:pt>
                <c:pt idx="86">
                  <c:v>7.3</c:v>
                </c:pt>
                <c:pt idx="87">
                  <c:v>6.9</c:v>
                </c:pt>
                <c:pt idx="88">
                  <c:v>7</c:v>
                </c:pt>
                <c:pt idx="89">
                  <c:v>6.8</c:v>
                </c:pt>
                <c:pt idx="90">
                  <c:v>7.2</c:v>
                </c:pt>
                <c:pt idx="91">
                  <c:v>7</c:v>
                </c:pt>
                <c:pt idx="92">
                  <c:v>7</c:v>
                </c:pt>
                <c:pt idx="93">
                  <c:v>7.2</c:v>
                </c:pt>
                <c:pt idx="94">
                  <c:v>7.6</c:v>
                </c:pt>
                <c:pt idx="95">
                  <c:v>7.3</c:v>
                </c:pt>
                <c:pt idx="96">
                  <c:v>7.4</c:v>
                </c:pt>
                <c:pt idx="97">
                  <c:v>7.5</c:v>
                </c:pt>
                <c:pt idx="98">
                  <c:v>7.9</c:v>
                </c:pt>
                <c:pt idx="99">
                  <c:v>8</c:v>
                </c:pt>
                <c:pt idx="100">
                  <c:v>7.8</c:v>
                </c:pt>
                <c:pt idx="101">
                  <c:v>7.4</c:v>
                </c:pt>
                <c:pt idx="102">
                  <c:v>6.9</c:v>
                </c:pt>
                <c:pt idx="103">
                  <c:v>5.9</c:v>
                </c:pt>
                <c:pt idx="104">
                  <c:v>5.6</c:v>
                </c:pt>
                <c:pt idx="105">
                  <c:v>5.4</c:v>
                </c:pt>
                <c:pt idx="106">
                  <c:v>4.4000000000000004</c:v>
                </c:pt>
                <c:pt idx="107">
                  <c:v>3.9</c:v>
                </c:pt>
                <c:pt idx="108">
                  <c:v>3.8</c:v>
                </c:pt>
                <c:pt idx="109">
                  <c:v>3.9</c:v>
                </c:pt>
                <c:pt idx="110">
                  <c:v>3.8</c:v>
                </c:pt>
                <c:pt idx="111">
                  <c:v>4.0999999999999996</c:v>
                </c:pt>
                <c:pt idx="112">
                  <c:v>3.9</c:v>
                </c:pt>
                <c:pt idx="113">
                  <c:v>4.2</c:v>
                </c:pt>
                <c:pt idx="114">
                  <c:v>4.2</c:v>
                </c:pt>
                <c:pt idx="115">
                  <c:v>4.7</c:v>
                </c:pt>
                <c:pt idx="116">
                  <c:v>4.4000000000000004</c:v>
                </c:pt>
                <c:pt idx="117">
                  <c:v>4.5999999999999996</c:v>
                </c:pt>
                <c:pt idx="118">
                  <c:v>5.4</c:v>
                </c:pt>
                <c:pt idx="119">
                  <c:v>5.9</c:v>
                </c:pt>
                <c:pt idx="120">
                  <c:v>6</c:v>
                </c:pt>
                <c:pt idx="121">
                  <c:v>5.8</c:v>
                </c:pt>
                <c:pt idx="122">
                  <c:v>5</c:v>
                </c:pt>
                <c:pt idx="123">
                  <c:v>5.7</c:v>
                </c:pt>
                <c:pt idx="124">
                  <c:v>5.8</c:v>
                </c:pt>
                <c:pt idx="125">
                  <c:v>5.4</c:v>
                </c:pt>
                <c:pt idx="126">
                  <c:v>5.9</c:v>
                </c:pt>
                <c:pt idx="127">
                  <c:v>5.7</c:v>
                </c:pt>
                <c:pt idx="128">
                  <c:v>5.8</c:v>
                </c:pt>
                <c:pt idx="129">
                  <c:v>5.7</c:v>
                </c:pt>
                <c:pt idx="130">
                  <c:v>5.5</c:v>
                </c:pt>
                <c:pt idx="131">
                  <c:v>5.3</c:v>
                </c:pt>
                <c:pt idx="132">
                  <c:v>5.6</c:v>
                </c:pt>
                <c:pt idx="133">
                  <c:v>5.5</c:v>
                </c:pt>
                <c:pt idx="134">
                  <c:v>6.2</c:v>
                </c:pt>
              </c:numCache>
            </c:numRef>
          </c:val>
        </c:ser>
        <c:marker val="1"/>
        <c:axId val="200514944"/>
        <c:axId val="200513408"/>
      </c:lineChart>
      <c:dateAx>
        <c:axId val="166722176"/>
        <c:scaling>
          <c:orientation val="minMax"/>
        </c:scaling>
        <c:axPos val="b"/>
        <c:numFmt formatCode="yyyy" sourceLinked="0"/>
        <c:tickLblPos val="low"/>
        <c:crossAx val="200511872"/>
        <c:crosses val="autoZero"/>
        <c:auto val="1"/>
        <c:lblOffset val="100"/>
        <c:majorUnit val="2"/>
        <c:majorTimeUnit val="years"/>
      </c:dateAx>
      <c:valAx>
        <c:axId val="200511872"/>
        <c:scaling>
          <c:orientation val="minMax"/>
        </c:scaling>
        <c:axPos val="l"/>
        <c:majorGridlines/>
        <c:numFmt formatCode="General" sourceLinked="1"/>
        <c:tickLblPos val="nextTo"/>
        <c:crossAx val="166722176"/>
        <c:crosses val="autoZero"/>
        <c:crossBetween val="between"/>
      </c:valAx>
      <c:valAx>
        <c:axId val="200513408"/>
        <c:scaling>
          <c:orientation val="minMax"/>
        </c:scaling>
        <c:axPos val="r"/>
        <c:numFmt formatCode="General" sourceLinked="1"/>
        <c:tickLblPos val="nextTo"/>
        <c:crossAx val="200514944"/>
        <c:crosses val="max"/>
        <c:crossBetween val="between"/>
      </c:valAx>
      <c:dateAx>
        <c:axId val="200514944"/>
        <c:scaling>
          <c:orientation val="minMax"/>
        </c:scaling>
        <c:delete val="1"/>
        <c:axPos val="b"/>
        <c:numFmt formatCode="yyyy&quot;年&quot;mm&quot;月&quot;" sourceLinked="1"/>
        <c:tickLblPos val="nextTo"/>
        <c:crossAx val="200513408"/>
        <c:crosses val="autoZero"/>
        <c:auto val="1"/>
        <c:lblOffset val="100"/>
        <c:majorUnit val="1"/>
        <c:minorUnit val="1"/>
      </c:date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plotArea>
      <c:layout/>
      <c:lineChart>
        <c:grouping val="standard"/>
        <c:ser>
          <c:idx val="0"/>
          <c:order val="0"/>
          <c:tx>
            <c:strRef>
              <c:f>lrate!$Y$112</c:f>
              <c:strCache>
                <c:ptCount val="1"/>
                <c:pt idx="0">
                  <c:v>G1</c:v>
                </c:pt>
              </c:strCache>
            </c:strRef>
          </c:tx>
          <c:spPr>
            <a:ln w="38100">
              <a:solidFill>
                <a:schemeClr val="tx1"/>
              </a:solidFill>
            </a:ln>
          </c:spPr>
          <c:marker>
            <c:symbol val="none"/>
          </c:marker>
          <c:cat>
            <c:strRef>
              <c:f>lrate!$X$113:$X$137</c:f>
              <c:strCache>
                <c:ptCount val="25"/>
                <c:pt idx="0">
                  <c:v>T-12Q</c:v>
                </c:pt>
                <c:pt idx="1">
                  <c:v>T-11Q</c:v>
                </c:pt>
                <c:pt idx="2">
                  <c:v>T-10Q</c:v>
                </c:pt>
                <c:pt idx="3">
                  <c:v>T-9Q</c:v>
                </c:pt>
                <c:pt idx="4">
                  <c:v>T-8Q</c:v>
                </c:pt>
                <c:pt idx="5">
                  <c:v>T-7Q</c:v>
                </c:pt>
                <c:pt idx="6">
                  <c:v>T-6Q</c:v>
                </c:pt>
                <c:pt idx="7">
                  <c:v>T-5Q</c:v>
                </c:pt>
                <c:pt idx="8">
                  <c:v>T-4Q</c:v>
                </c:pt>
                <c:pt idx="9">
                  <c:v>T-3Q</c:v>
                </c:pt>
                <c:pt idx="10">
                  <c:v>T-2Q</c:v>
                </c:pt>
                <c:pt idx="11">
                  <c:v>T-1Q</c:v>
                </c:pt>
                <c:pt idx="12">
                  <c:v>T</c:v>
                </c:pt>
                <c:pt idx="13">
                  <c:v>T+1Q</c:v>
                </c:pt>
                <c:pt idx="14">
                  <c:v>T+2Q</c:v>
                </c:pt>
                <c:pt idx="15">
                  <c:v>T+3Q</c:v>
                </c:pt>
                <c:pt idx="16">
                  <c:v>T+4Q</c:v>
                </c:pt>
                <c:pt idx="17">
                  <c:v>T+5Q</c:v>
                </c:pt>
                <c:pt idx="18">
                  <c:v>T+6Q</c:v>
                </c:pt>
                <c:pt idx="19">
                  <c:v>T+7Q</c:v>
                </c:pt>
                <c:pt idx="20">
                  <c:v>T+8Q</c:v>
                </c:pt>
                <c:pt idx="21">
                  <c:v>T+9Q</c:v>
                </c:pt>
                <c:pt idx="22">
                  <c:v>T+10Q</c:v>
                </c:pt>
                <c:pt idx="23">
                  <c:v>T+11Q</c:v>
                </c:pt>
                <c:pt idx="24">
                  <c:v>T+12Q</c:v>
                </c:pt>
              </c:strCache>
            </c:strRef>
          </c:cat>
          <c:val>
            <c:numRef>
              <c:f>lrate!$Y$113:$Y$137</c:f>
              <c:numCache>
                <c:formatCode>General</c:formatCode>
                <c:ptCount val="25"/>
                <c:pt idx="0">
                  <c:v>4.1499999999999995</c:v>
                </c:pt>
                <c:pt idx="1">
                  <c:v>2.9175000000000004</c:v>
                </c:pt>
                <c:pt idx="2">
                  <c:v>2.7625000000000002</c:v>
                </c:pt>
                <c:pt idx="3">
                  <c:v>2.1300000000000003</c:v>
                </c:pt>
                <c:pt idx="4">
                  <c:v>1.5774999999999975</c:v>
                </c:pt>
                <c:pt idx="5">
                  <c:v>1.2724999999999977</c:v>
                </c:pt>
                <c:pt idx="6">
                  <c:v>0.96250000000000013</c:v>
                </c:pt>
                <c:pt idx="7">
                  <c:v>0.69999999999999984</c:v>
                </c:pt>
                <c:pt idx="8">
                  <c:v>0.47000000000000031</c:v>
                </c:pt>
                <c:pt idx="9">
                  <c:v>0.38500000000000101</c:v>
                </c:pt>
                <c:pt idx="10">
                  <c:v>0.46</c:v>
                </c:pt>
                <c:pt idx="11">
                  <c:v>0.4000000000000003</c:v>
                </c:pt>
                <c:pt idx="12">
                  <c:v>0.29500000000000032</c:v>
                </c:pt>
                <c:pt idx="13">
                  <c:v>0.33250000000000052</c:v>
                </c:pt>
                <c:pt idx="14">
                  <c:v>0.33750000000000058</c:v>
                </c:pt>
                <c:pt idx="15">
                  <c:v>0.30250000000000032</c:v>
                </c:pt>
                <c:pt idx="16">
                  <c:v>0.27250000000000002</c:v>
                </c:pt>
                <c:pt idx="17">
                  <c:v>0.30500000000000038</c:v>
                </c:pt>
                <c:pt idx="18">
                  <c:v>0.33000000000000057</c:v>
                </c:pt>
                <c:pt idx="19">
                  <c:v>0.3425000000000003</c:v>
                </c:pt>
                <c:pt idx="20">
                  <c:v>0.34750000000000031</c:v>
                </c:pt>
                <c:pt idx="21">
                  <c:v>0.33750000000000063</c:v>
                </c:pt>
                <c:pt idx="22">
                  <c:v>0.31500000000000067</c:v>
                </c:pt>
                <c:pt idx="23">
                  <c:v>0.27000000000000046</c:v>
                </c:pt>
                <c:pt idx="24">
                  <c:v>0.23250000000000001</c:v>
                </c:pt>
              </c:numCache>
            </c:numRef>
          </c:val>
        </c:ser>
        <c:ser>
          <c:idx val="1"/>
          <c:order val="1"/>
          <c:tx>
            <c:strRef>
              <c:f>lrate!$Z$112</c:f>
              <c:strCache>
                <c:ptCount val="1"/>
                <c:pt idx="0">
                  <c:v>G2</c:v>
                </c:pt>
              </c:strCache>
            </c:strRef>
          </c:tx>
          <c:spPr>
            <a:ln>
              <a:solidFill>
                <a:sysClr val="windowText" lastClr="000000"/>
              </a:solidFill>
              <a:prstDash val="lgDash"/>
            </a:ln>
          </c:spPr>
          <c:marker>
            <c:symbol val="none"/>
          </c:marker>
          <c:cat>
            <c:strRef>
              <c:f>lrate!$X$113:$X$137</c:f>
              <c:strCache>
                <c:ptCount val="25"/>
                <c:pt idx="0">
                  <c:v>T-12Q</c:v>
                </c:pt>
                <c:pt idx="1">
                  <c:v>T-11Q</c:v>
                </c:pt>
                <c:pt idx="2">
                  <c:v>T-10Q</c:v>
                </c:pt>
                <c:pt idx="3">
                  <c:v>T-9Q</c:v>
                </c:pt>
                <c:pt idx="4">
                  <c:v>T-8Q</c:v>
                </c:pt>
                <c:pt idx="5">
                  <c:v>T-7Q</c:v>
                </c:pt>
                <c:pt idx="6">
                  <c:v>T-6Q</c:v>
                </c:pt>
                <c:pt idx="7">
                  <c:v>T-5Q</c:v>
                </c:pt>
                <c:pt idx="8">
                  <c:v>T-4Q</c:v>
                </c:pt>
                <c:pt idx="9">
                  <c:v>T-3Q</c:v>
                </c:pt>
                <c:pt idx="10">
                  <c:v>T-2Q</c:v>
                </c:pt>
                <c:pt idx="11">
                  <c:v>T-1Q</c:v>
                </c:pt>
                <c:pt idx="12">
                  <c:v>T</c:v>
                </c:pt>
                <c:pt idx="13">
                  <c:v>T+1Q</c:v>
                </c:pt>
                <c:pt idx="14">
                  <c:v>T+2Q</c:v>
                </c:pt>
                <c:pt idx="15">
                  <c:v>T+3Q</c:v>
                </c:pt>
                <c:pt idx="16">
                  <c:v>T+4Q</c:v>
                </c:pt>
                <c:pt idx="17">
                  <c:v>T+5Q</c:v>
                </c:pt>
                <c:pt idx="18">
                  <c:v>T+6Q</c:v>
                </c:pt>
                <c:pt idx="19">
                  <c:v>T+7Q</c:v>
                </c:pt>
                <c:pt idx="20">
                  <c:v>T+8Q</c:v>
                </c:pt>
                <c:pt idx="21">
                  <c:v>T+9Q</c:v>
                </c:pt>
                <c:pt idx="22">
                  <c:v>T+10Q</c:v>
                </c:pt>
                <c:pt idx="23">
                  <c:v>T+11Q</c:v>
                </c:pt>
                <c:pt idx="24">
                  <c:v>T+12Q</c:v>
                </c:pt>
              </c:strCache>
            </c:strRef>
          </c:cat>
          <c:val>
            <c:numRef>
              <c:f>lrate!$Z$113:$Z$137</c:f>
              <c:numCache>
                <c:formatCode>General</c:formatCode>
                <c:ptCount val="25"/>
                <c:pt idx="0">
                  <c:v>0.54249999999999998</c:v>
                </c:pt>
                <c:pt idx="1">
                  <c:v>0.33500000000000063</c:v>
                </c:pt>
                <c:pt idx="2">
                  <c:v>0.30750000000000038</c:v>
                </c:pt>
                <c:pt idx="3">
                  <c:v>0.19250000000000039</c:v>
                </c:pt>
                <c:pt idx="4">
                  <c:v>0.18499999999999986</c:v>
                </c:pt>
                <c:pt idx="5">
                  <c:v>0.19500000000000001</c:v>
                </c:pt>
                <c:pt idx="6">
                  <c:v>0.14750000000000041</c:v>
                </c:pt>
                <c:pt idx="7">
                  <c:v>0.11749999999999995</c:v>
                </c:pt>
                <c:pt idx="8">
                  <c:v>9.5000000000000043E-2</c:v>
                </c:pt>
                <c:pt idx="9">
                  <c:v>0.10250000000000049</c:v>
                </c:pt>
                <c:pt idx="10">
                  <c:v>0.18000000000000041</c:v>
                </c:pt>
                <c:pt idx="11">
                  <c:v>0.15000000000000041</c:v>
                </c:pt>
                <c:pt idx="12">
                  <c:v>0.14000000000000024</c:v>
                </c:pt>
                <c:pt idx="13">
                  <c:v>0.18500000000000016</c:v>
                </c:pt>
                <c:pt idx="14">
                  <c:v>0.21000000000000021</c:v>
                </c:pt>
                <c:pt idx="15">
                  <c:v>0.19750000000000001</c:v>
                </c:pt>
                <c:pt idx="16">
                  <c:v>0.1925000000000002</c:v>
                </c:pt>
                <c:pt idx="17">
                  <c:v>0.20500000000000029</c:v>
                </c:pt>
                <c:pt idx="18">
                  <c:v>0.22000000000000003</c:v>
                </c:pt>
                <c:pt idx="19">
                  <c:v>0.23250000000000021</c:v>
                </c:pt>
                <c:pt idx="20">
                  <c:v>0.22750000000000006</c:v>
                </c:pt>
                <c:pt idx="21">
                  <c:v>0.23250000000000001</c:v>
                </c:pt>
                <c:pt idx="22">
                  <c:v>0.20500000000000021</c:v>
                </c:pt>
                <c:pt idx="23">
                  <c:v>0.18250000000000041</c:v>
                </c:pt>
                <c:pt idx="24">
                  <c:v>0.15750000000000003</c:v>
                </c:pt>
              </c:numCache>
            </c:numRef>
          </c:val>
        </c:ser>
        <c:ser>
          <c:idx val="2"/>
          <c:order val="2"/>
          <c:tx>
            <c:strRef>
              <c:f>lrate!$AA$112</c:f>
              <c:strCache>
                <c:ptCount val="1"/>
                <c:pt idx="0">
                  <c:v>G3</c:v>
                </c:pt>
              </c:strCache>
            </c:strRef>
          </c:tx>
          <c:spPr>
            <a:ln>
              <a:solidFill>
                <a:sysClr val="windowText" lastClr="000000"/>
              </a:solidFill>
              <a:prstDash val="sysDash"/>
            </a:ln>
          </c:spPr>
          <c:marker>
            <c:symbol val="none"/>
          </c:marker>
          <c:cat>
            <c:strRef>
              <c:f>lrate!$X$113:$X$137</c:f>
              <c:strCache>
                <c:ptCount val="25"/>
                <c:pt idx="0">
                  <c:v>T-12Q</c:v>
                </c:pt>
                <c:pt idx="1">
                  <c:v>T-11Q</c:v>
                </c:pt>
                <c:pt idx="2">
                  <c:v>T-10Q</c:v>
                </c:pt>
                <c:pt idx="3">
                  <c:v>T-9Q</c:v>
                </c:pt>
                <c:pt idx="4">
                  <c:v>T-8Q</c:v>
                </c:pt>
                <c:pt idx="5">
                  <c:v>T-7Q</c:v>
                </c:pt>
                <c:pt idx="6">
                  <c:v>T-6Q</c:v>
                </c:pt>
                <c:pt idx="7">
                  <c:v>T-5Q</c:v>
                </c:pt>
                <c:pt idx="8">
                  <c:v>T-4Q</c:v>
                </c:pt>
                <c:pt idx="9">
                  <c:v>T-3Q</c:v>
                </c:pt>
                <c:pt idx="10">
                  <c:v>T-2Q</c:v>
                </c:pt>
                <c:pt idx="11">
                  <c:v>T-1Q</c:v>
                </c:pt>
                <c:pt idx="12">
                  <c:v>T</c:v>
                </c:pt>
                <c:pt idx="13">
                  <c:v>T+1Q</c:v>
                </c:pt>
                <c:pt idx="14">
                  <c:v>T+2Q</c:v>
                </c:pt>
                <c:pt idx="15">
                  <c:v>T+3Q</c:v>
                </c:pt>
                <c:pt idx="16">
                  <c:v>T+4Q</c:v>
                </c:pt>
                <c:pt idx="17">
                  <c:v>T+5Q</c:v>
                </c:pt>
                <c:pt idx="18">
                  <c:v>T+6Q</c:v>
                </c:pt>
                <c:pt idx="19">
                  <c:v>T+7Q</c:v>
                </c:pt>
                <c:pt idx="20">
                  <c:v>T+8Q</c:v>
                </c:pt>
                <c:pt idx="21">
                  <c:v>T+9Q</c:v>
                </c:pt>
                <c:pt idx="22">
                  <c:v>T+10Q</c:v>
                </c:pt>
                <c:pt idx="23">
                  <c:v>T+11Q</c:v>
                </c:pt>
                <c:pt idx="24">
                  <c:v>T+12Q</c:v>
                </c:pt>
              </c:strCache>
            </c:strRef>
          </c:cat>
          <c:val>
            <c:numRef>
              <c:f>lrate!$AA$113:$AA$137</c:f>
              <c:numCache>
                <c:formatCode>General</c:formatCode>
                <c:ptCount val="25"/>
                <c:pt idx="0">
                  <c:v>1.7200000000000004</c:v>
                </c:pt>
                <c:pt idx="1">
                  <c:v>1.7625000000000004</c:v>
                </c:pt>
                <c:pt idx="2">
                  <c:v>1.3975000000000002</c:v>
                </c:pt>
                <c:pt idx="3">
                  <c:v>0.98749999999999949</c:v>
                </c:pt>
                <c:pt idx="4">
                  <c:v>1.1325000000000003</c:v>
                </c:pt>
                <c:pt idx="5">
                  <c:v>1.0400000000000005</c:v>
                </c:pt>
                <c:pt idx="6">
                  <c:v>1.1800000000000019</c:v>
                </c:pt>
                <c:pt idx="7">
                  <c:v>1.26</c:v>
                </c:pt>
                <c:pt idx="8">
                  <c:v>1.1374999999999977</c:v>
                </c:pt>
                <c:pt idx="9">
                  <c:v>1.1424999999999998</c:v>
                </c:pt>
                <c:pt idx="10">
                  <c:v>1.0550000000000002</c:v>
                </c:pt>
                <c:pt idx="11">
                  <c:v>0.88750000000000029</c:v>
                </c:pt>
                <c:pt idx="12">
                  <c:v>0.91</c:v>
                </c:pt>
                <c:pt idx="13">
                  <c:v>0.67500000000000127</c:v>
                </c:pt>
                <c:pt idx="14">
                  <c:v>0.67250000000000065</c:v>
                </c:pt>
                <c:pt idx="15">
                  <c:v>0.59749999999999959</c:v>
                </c:pt>
                <c:pt idx="16">
                  <c:v>0.37750000000000056</c:v>
                </c:pt>
                <c:pt idx="17">
                  <c:v>0.18000000000000024</c:v>
                </c:pt>
                <c:pt idx="18">
                  <c:v>0.32000000000000101</c:v>
                </c:pt>
                <c:pt idx="19">
                  <c:v>0.44666666666666638</c:v>
                </c:pt>
                <c:pt idx="20">
                  <c:v>0.51333333333333309</c:v>
                </c:pt>
                <c:pt idx="21">
                  <c:v>0.49333333333333346</c:v>
                </c:pt>
                <c:pt idx="22">
                  <c:v>0.5166666666666665</c:v>
                </c:pt>
                <c:pt idx="23">
                  <c:v>0.85000000000000064</c:v>
                </c:pt>
                <c:pt idx="24">
                  <c:v>1.1266666666666667</c:v>
                </c:pt>
              </c:numCache>
            </c:numRef>
          </c:val>
        </c:ser>
        <c:marker val="1"/>
        <c:axId val="137429376"/>
        <c:axId val="137430912"/>
      </c:lineChart>
      <c:catAx>
        <c:axId val="137429376"/>
        <c:scaling>
          <c:orientation val="minMax"/>
        </c:scaling>
        <c:axPos val="b"/>
        <c:tickLblPos val="nextTo"/>
        <c:crossAx val="137430912"/>
        <c:crosses val="autoZero"/>
        <c:auto val="1"/>
        <c:lblAlgn val="ctr"/>
        <c:lblOffset val="100"/>
        <c:tickLblSkip val="4"/>
      </c:catAx>
      <c:valAx>
        <c:axId val="137430912"/>
        <c:scaling>
          <c:orientation val="minMax"/>
        </c:scaling>
        <c:axPos val="l"/>
        <c:majorGridlines/>
        <c:numFmt formatCode="#,##0.0_);[Red]\(#,##0.0\)" sourceLinked="0"/>
        <c:tickLblPos val="nextTo"/>
        <c:crossAx val="137429376"/>
        <c:crosses val="autoZero"/>
        <c:crossBetween val="between"/>
      </c:valAx>
    </c:plotArea>
    <c:legend>
      <c:legendPos val="t"/>
      <c:txPr>
        <a:bodyPr/>
        <a:lstStyle/>
        <a:p>
          <a:pPr>
            <a:defRPr sz="1050"/>
          </a:pPr>
          <a:endParaRPr lang="ja-JP"/>
        </a:p>
      </c:txPr>
    </c:legend>
    <c:plotVisOnly val="1"/>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6</Pages>
  <Words>656</Words>
  <Characters>3744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41</cp:revision>
  <cp:lastPrinted>2010-06-14T05:14:00Z</cp:lastPrinted>
  <dcterms:created xsi:type="dcterms:W3CDTF">2010-05-06T02:12:00Z</dcterms:created>
  <dcterms:modified xsi:type="dcterms:W3CDTF">2010-06-14T06:19:00Z</dcterms:modified>
</cp:coreProperties>
</file>