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D7" w:rsidRPr="008475D7" w:rsidRDefault="008475D7" w:rsidP="008475D7">
      <w:pPr>
        <w:jc w:val="left"/>
        <w:rPr>
          <w:rFonts w:ascii="Century" w:eastAsia="ＭＳ 明朝" w:hAnsi="Century" w:cs="Times New Roman"/>
        </w:rPr>
      </w:pPr>
      <w:r w:rsidRPr="008475D7">
        <w:rPr>
          <w:rFonts w:ascii="Century" w:eastAsia="ＭＳ 明朝" w:hAnsi="Century" w:cs="Times New Roman" w:hint="eastAsia"/>
        </w:rPr>
        <w:t>日本国際経済学会第</w:t>
      </w:r>
      <w:r w:rsidRPr="008475D7">
        <w:rPr>
          <w:rFonts w:ascii="Century" w:eastAsia="ＭＳ 明朝" w:hAnsi="Century" w:cs="Times New Roman" w:hint="eastAsia"/>
        </w:rPr>
        <w:t xml:space="preserve">70 </w:t>
      </w:r>
      <w:r w:rsidRPr="008475D7">
        <w:rPr>
          <w:rFonts w:ascii="Century" w:eastAsia="ＭＳ 明朝" w:hAnsi="Century" w:cs="Times New Roman" w:hint="eastAsia"/>
        </w:rPr>
        <w:t>回全国大会</w:t>
      </w:r>
      <w:r>
        <w:rPr>
          <w:rFonts w:ascii="Century" w:eastAsia="ＭＳ 明朝" w:hAnsi="Century" w:cs="Times New Roman" w:hint="eastAsia"/>
        </w:rPr>
        <w:t>(</w:t>
      </w:r>
      <w:r>
        <w:rPr>
          <w:rFonts w:ascii="Century" w:eastAsia="ＭＳ 明朝" w:hAnsi="Century" w:cs="Times New Roman" w:hint="eastAsia"/>
        </w:rPr>
        <w:t>ポスターセッション</w:t>
      </w:r>
      <w:r>
        <w:rPr>
          <w:rFonts w:ascii="Century" w:eastAsia="ＭＳ 明朝" w:hAnsi="Century" w:cs="Times New Roman" w:hint="eastAsia"/>
        </w:rPr>
        <w:t>)</w:t>
      </w:r>
    </w:p>
    <w:p w:rsidR="008475D7" w:rsidRPr="008475D7" w:rsidRDefault="008475D7" w:rsidP="0050673E">
      <w:pPr>
        <w:rPr>
          <w:rFonts w:ascii="Century" w:eastAsia="ＭＳ 明朝" w:hAnsi="Century" w:cs="Times New Roman"/>
        </w:rPr>
      </w:pPr>
    </w:p>
    <w:p w:rsidR="008475D7" w:rsidRPr="008475D7" w:rsidRDefault="008475D7" w:rsidP="008475D7">
      <w:pPr>
        <w:jc w:val="center"/>
        <w:rPr>
          <w:rFonts w:ascii="Century" w:eastAsia="ＭＳ 明朝" w:hAnsi="Century" w:cs="Times New Roman"/>
        </w:rPr>
      </w:pPr>
      <w:r w:rsidRPr="008475D7">
        <w:rPr>
          <w:rFonts w:ascii="Century" w:eastAsia="ＭＳ 明朝" w:hAnsi="Century" w:cs="Times New Roman" w:hint="eastAsia"/>
        </w:rPr>
        <w:t>EU</w:t>
      </w:r>
      <w:r w:rsidRPr="008475D7">
        <w:rPr>
          <w:rFonts w:ascii="Century" w:eastAsia="ＭＳ 明朝" w:hAnsi="Century" w:cs="Times New Roman" w:hint="eastAsia"/>
        </w:rPr>
        <w:t>広域経済圏の形成と金融</w:t>
      </w:r>
      <w:r w:rsidRPr="008475D7">
        <w:rPr>
          <w:rFonts w:ascii="Century" w:eastAsia="ＭＳ 明朝" w:hAnsi="Century" w:cs="Times New Roman" w:hint="eastAsia"/>
        </w:rPr>
        <w:t>FDI</w:t>
      </w:r>
    </w:p>
    <w:p w:rsidR="008475D7" w:rsidRDefault="008475D7" w:rsidP="008475D7">
      <w:pPr>
        <w:jc w:val="center"/>
        <w:rPr>
          <w:rFonts w:ascii="Century" w:eastAsia="ＭＳ 明朝" w:hAnsi="Century" w:cs="Times New Roman" w:hint="eastAsia"/>
        </w:rPr>
      </w:pPr>
      <w:r w:rsidRPr="008475D7">
        <w:rPr>
          <w:rFonts w:ascii="Century" w:eastAsia="ＭＳ 明朝" w:hAnsi="Century" w:cs="Times New Roman" w:hint="eastAsia"/>
        </w:rPr>
        <w:t>－モロッコの銀行セクターを中心に－</w:t>
      </w:r>
    </w:p>
    <w:p w:rsidR="0050673E" w:rsidRDefault="0050673E" w:rsidP="008475D7">
      <w:pPr>
        <w:jc w:val="center"/>
        <w:rPr>
          <w:rFonts w:ascii="Century" w:eastAsia="ＭＳ 明朝" w:hAnsi="Century" w:cs="Times New Roman" w:hint="eastAsia"/>
        </w:rPr>
      </w:pPr>
    </w:p>
    <w:p w:rsidR="0050673E" w:rsidRPr="008475D7" w:rsidRDefault="0050673E" w:rsidP="0050673E">
      <w:pPr>
        <w:wordWrap w:val="0"/>
        <w:jc w:val="right"/>
        <w:rPr>
          <w:rFonts w:ascii="Century" w:eastAsia="ＭＳ 明朝" w:hAnsi="Century" w:cs="Times New Roman"/>
        </w:rPr>
      </w:pPr>
      <w:r>
        <w:rPr>
          <w:rFonts w:ascii="Century" w:eastAsia="ＭＳ 明朝" w:hAnsi="Century" w:cs="Times New Roman" w:hint="eastAsia"/>
        </w:rPr>
        <w:t xml:space="preserve">九州大学　</w:t>
      </w:r>
      <w:bookmarkStart w:id="0" w:name="_GoBack"/>
      <w:bookmarkEnd w:id="0"/>
      <w:r>
        <w:rPr>
          <w:rFonts w:ascii="Century" w:eastAsia="ＭＳ 明朝" w:hAnsi="Century" w:cs="Times New Roman" w:hint="eastAsia"/>
        </w:rPr>
        <w:t>高﨑　春華</w:t>
      </w:r>
    </w:p>
    <w:sdt>
      <w:sdtPr>
        <w:rPr>
          <w:rFonts w:asciiTheme="minorHAnsi" w:eastAsiaTheme="minorEastAsia" w:hAnsiTheme="minorHAnsi" w:cstheme="minorBidi"/>
          <w:b w:val="0"/>
          <w:bCs w:val="0"/>
          <w:color w:val="auto"/>
          <w:kern w:val="2"/>
          <w:sz w:val="21"/>
          <w:szCs w:val="22"/>
          <w:lang w:val="ja-JP"/>
        </w:rPr>
        <w:id w:val="-317886756"/>
        <w:docPartObj>
          <w:docPartGallery w:val="Table of Contents"/>
          <w:docPartUnique/>
        </w:docPartObj>
      </w:sdtPr>
      <w:sdtEndPr/>
      <w:sdtContent>
        <w:p w:rsidR="004C1210" w:rsidRDefault="004C1210">
          <w:pPr>
            <w:pStyle w:val="ad"/>
          </w:pPr>
          <w:r>
            <w:rPr>
              <w:lang w:val="ja-JP"/>
            </w:rPr>
            <w:t>目次</w:t>
          </w:r>
        </w:p>
        <w:p w:rsidR="00824304" w:rsidRDefault="004C1210">
          <w:pPr>
            <w:pStyle w:val="11"/>
            <w:tabs>
              <w:tab w:val="right" w:leader="dot" w:pos="8494"/>
            </w:tabs>
            <w:rPr>
              <w:noProof/>
            </w:rPr>
          </w:pPr>
          <w:r>
            <w:fldChar w:fldCharType="begin"/>
          </w:r>
          <w:r>
            <w:instrText xml:space="preserve"> TOC \o "1-3" \h \z \u </w:instrText>
          </w:r>
          <w:r>
            <w:fldChar w:fldCharType="separate"/>
          </w:r>
          <w:hyperlink w:anchor="_Toc302617235" w:history="1">
            <w:r w:rsidR="00824304" w:rsidRPr="00753809">
              <w:rPr>
                <w:rStyle w:val="ae"/>
                <w:rFonts w:hint="eastAsia"/>
                <w:noProof/>
              </w:rPr>
              <w:t>はじめに</w:t>
            </w:r>
            <w:r w:rsidR="00824304">
              <w:rPr>
                <w:noProof/>
                <w:webHidden/>
              </w:rPr>
              <w:tab/>
            </w:r>
            <w:r w:rsidR="00824304">
              <w:rPr>
                <w:noProof/>
                <w:webHidden/>
              </w:rPr>
              <w:fldChar w:fldCharType="begin"/>
            </w:r>
            <w:r w:rsidR="00824304">
              <w:rPr>
                <w:noProof/>
                <w:webHidden/>
              </w:rPr>
              <w:instrText xml:space="preserve"> PAGEREF _Toc302617235 \h </w:instrText>
            </w:r>
            <w:r w:rsidR="00824304">
              <w:rPr>
                <w:noProof/>
                <w:webHidden/>
              </w:rPr>
            </w:r>
            <w:r w:rsidR="00824304">
              <w:rPr>
                <w:noProof/>
                <w:webHidden/>
              </w:rPr>
              <w:fldChar w:fldCharType="separate"/>
            </w:r>
            <w:r w:rsidR="00824304">
              <w:rPr>
                <w:noProof/>
                <w:webHidden/>
              </w:rPr>
              <w:t>1</w:t>
            </w:r>
            <w:r w:rsidR="00824304">
              <w:rPr>
                <w:noProof/>
                <w:webHidden/>
              </w:rPr>
              <w:fldChar w:fldCharType="end"/>
            </w:r>
          </w:hyperlink>
        </w:p>
        <w:p w:rsidR="00824304" w:rsidRDefault="0050673E">
          <w:pPr>
            <w:pStyle w:val="11"/>
            <w:tabs>
              <w:tab w:val="right" w:leader="dot" w:pos="8494"/>
            </w:tabs>
            <w:rPr>
              <w:noProof/>
            </w:rPr>
          </w:pPr>
          <w:hyperlink w:anchor="_Toc302617236" w:history="1">
            <w:r w:rsidR="00824304" w:rsidRPr="00753809">
              <w:rPr>
                <w:rStyle w:val="ae"/>
                <w:rFonts w:hint="eastAsia"/>
                <w:noProof/>
              </w:rPr>
              <w:t>Ⅰ</w:t>
            </w:r>
            <w:r w:rsidR="00824304" w:rsidRPr="00753809">
              <w:rPr>
                <w:rStyle w:val="ae"/>
                <w:noProof/>
              </w:rPr>
              <w:t xml:space="preserve"> EU</w:t>
            </w:r>
            <w:r w:rsidR="00824304" w:rsidRPr="00753809">
              <w:rPr>
                <w:rStyle w:val="ae"/>
                <w:rFonts w:hint="eastAsia"/>
                <w:noProof/>
              </w:rPr>
              <w:t>地中海政策の展開と広域経済圏の形成</w:t>
            </w:r>
            <w:r w:rsidR="00824304">
              <w:rPr>
                <w:noProof/>
                <w:webHidden/>
              </w:rPr>
              <w:tab/>
            </w:r>
            <w:r w:rsidR="00824304">
              <w:rPr>
                <w:noProof/>
                <w:webHidden/>
              </w:rPr>
              <w:fldChar w:fldCharType="begin"/>
            </w:r>
            <w:r w:rsidR="00824304">
              <w:rPr>
                <w:noProof/>
                <w:webHidden/>
              </w:rPr>
              <w:instrText xml:space="preserve"> PAGEREF _Toc302617236 \h </w:instrText>
            </w:r>
            <w:r w:rsidR="00824304">
              <w:rPr>
                <w:noProof/>
                <w:webHidden/>
              </w:rPr>
            </w:r>
            <w:r w:rsidR="00824304">
              <w:rPr>
                <w:noProof/>
                <w:webHidden/>
              </w:rPr>
              <w:fldChar w:fldCharType="separate"/>
            </w:r>
            <w:r w:rsidR="00824304">
              <w:rPr>
                <w:noProof/>
                <w:webHidden/>
              </w:rPr>
              <w:t>2</w:t>
            </w:r>
            <w:r w:rsidR="00824304">
              <w:rPr>
                <w:noProof/>
                <w:webHidden/>
              </w:rPr>
              <w:fldChar w:fldCharType="end"/>
            </w:r>
          </w:hyperlink>
        </w:p>
        <w:p w:rsidR="00824304" w:rsidRDefault="0050673E">
          <w:pPr>
            <w:pStyle w:val="11"/>
            <w:tabs>
              <w:tab w:val="right" w:leader="dot" w:pos="8494"/>
            </w:tabs>
            <w:rPr>
              <w:noProof/>
            </w:rPr>
          </w:pPr>
          <w:hyperlink w:anchor="_Toc302617237" w:history="1">
            <w:r w:rsidR="00824304" w:rsidRPr="00753809">
              <w:rPr>
                <w:rStyle w:val="ae"/>
                <w:rFonts w:hint="eastAsia"/>
                <w:noProof/>
              </w:rPr>
              <w:t>Ⅱ．モロッコにおける金融法制のＥＵへの接近</w:t>
            </w:r>
            <w:r w:rsidR="00824304">
              <w:rPr>
                <w:noProof/>
                <w:webHidden/>
              </w:rPr>
              <w:tab/>
            </w:r>
            <w:r w:rsidR="00824304">
              <w:rPr>
                <w:noProof/>
                <w:webHidden/>
              </w:rPr>
              <w:fldChar w:fldCharType="begin"/>
            </w:r>
            <w:r w:rsidR="00824304">
              <w:rPr>
                <w:noProof/>
                <w:webHidden/>
              </w:rPr>
              <w:instrText xml:space="preserve"> PAGEREF _Toc302617237 \h </w:instrText>
            </w:r>
            <w:r w:rsidR="00824304">
              <w:rPr>
                <w:noProof/>
                <w:webHidden/>
              </w:rPr>
            </w:r>
            <w:r w:rsidR="00824304">
              <w:rPr>
                <w:noProof/>
                <w:webHidden/>
              </w:rPr>
              <w:fldChar w:fldCharType="separate"/>
            </w:r>
            <w:r w:rsidR="00824304">
              <w:rPr>
                <w:noProof/>
                <w:webHidden/>
              </w:rPr>
              <w:t>4</w:t>
            </w:r>
            <w:r w:rsidR="00824304">
              <w:rPr>
                <w:noProof/>
                <w:webHidden/>
              </w:rPr>
              <w:fldChar w:fldCharType="end"/>
            </w:r>
          </w:hyperlink>
        </w:p>
        <w:p w:rsidR="00824304" w:rsidRDefault="0050673E">
          <w:pPr>
            <w:pStyle w:val="21"/>
            <w:tabs>
              <w:tab w:val="left" w:pos="630"/>
              <w:tab w:val="right" w:leader="dot" w:pos="8494"/>
            </w:tabs>
            <w:rPr>
              <w:noProof/>
            </w:rPr>
          </w:pPr>
          <w:hyperlink w:anchor="_Toc302617238" w:history="1">
            <w:r w:rsidR="00824304" w:rsidRPr="00753809">
              <w:rPr>
                <w:rStyle w:val="ae"/>
                <w:noProof/>
              </w:rPr>
              <w:t>1.</w:t>
            </w:r>
            <w:r w:rsidR="00824304">
              <w:rPr>
                <w:noProof/>
              </w:rPr>
              <w:tab/>
            </w:r>
            <w:r w:rsidR="00824304" w:rsidRPr="00753809">
              <w:rPr>
                <w:rStyle w:val="ae"/>
                <w:rFonts w:hint="eastAsia"/>
                <w:noProof/>
              </w:rPr>
              <w:t>モロッコの経済発展戦略と優先的地位</w:t>
            </w:r>
            <w:r w:rsidR="00824304" w:rsidRPr="00753809">
              <w:rPr>
                <w:rStyle w:val="ae"/>
                <w:noProof/>
              </w:rPr>
              <w:t>(Advanced Status)</w:t>
            </w:r>
            <w:r w:rsidR="00824304" w:rsidRPr="00753809">
              <w:rPr>
                <w:rStyle w:val="ae"/>
                <w:rFonts w:hint="eastAsia"/>
                <w:noProof/>
              </w:rPr>
              <w:t>の獲得</w:t>
            </w:r>
            <w:r w:rsidR="00824304">
              <w:rPr>
                <w:noProof/>
                <w:webHidden/>
              </w:rPr>
              <w:tab/>
            </w:r>
            <w:r w:rsidR="00824304">
              <w:rPr>
                <w:noProof/>
                <w:webHidden/>
              </w:rPr>
              <w:fldChar w:fldCharType="begin"/>
            </w:r>
            <w:r w:rsidR="00824304">
              <w:rPr>
                <w:noProof/>
                <w:webHidden/>
              </w:rPr>
              <w:instrText xml:space="preserve"> PAGEREF _Toc302617238 \h </w:instrText>
            </w:r>
            <w:r w:rsidR="00824304">
              <w:rPr>
                <w:noProof/>
                <w:webHidden/>
              </w:rPr>
            </w:r>
            <w:r w:rsidR="00824304">
              <w:rPr>
                <w:noProof/>
                <w:webHidden/>
              </w:rPr>
              <w:fldChar w:fldCharType="separate"/>
            </w:r>
            <w:r w:rsidR="00824304">
              <w:rPr>
                <w:noProof/>
                <w:webHidden/>
              </w:rPr>
              <w:t>4</w:t>
            </w:r>
            <w:r w:rsidR="00824304">
              <w:rPr>
                <w:noProof/>
                <w:webHidden/>
              </w:rPr>
              <w:fldChar w:fldCharType="end"/>
            </w:r>
          </w:hyperlink>
        </w:p>
        <w:p w:rsidR="00824304" w:rsidRDefault="0050673E">
          <w:pPr>
            <w:pStyle w:val="21"/>
            <w:tabs>
              <w:tab w:val="left" w:pos="630"/>
              <w:tab w:val="right" w:leader="dot" w:pos="8494"/>
            </w:tabs>
            <w:rPr>
              <w:noProof/>
            </w:rPr>
          </w:pPr>
          <w:hyperlink w:anchor="_Toc302617239" w:history="1">
            <w:r w:rsidR="00824304" w:rsidRPr="00753809">
              <w:rPr>
                <w:rStyle w:val="ae"/>
                <w:noProof/>
              </w:rPr>
              <w:t>2.</w:t>
            </w:r>
            <w:r w:rsidR="00824304">
              <w:rPr>
                <w:noProof/>
              </w:rPr>
              <w:tab/>
            </w:r>
            <w:r w:rsidR="00824304" w:rsidRPr="00753809">
              <w:rPr>
                <w:rStyle w:val="ae"/>
                <w:noProof/>
              </w:rPr>
              <w:t>2006</w:t>
            </w:r>
            <w:r w:rsidR="00824304" w:rsidRPr="00753809">
              <w:rPr>
                <w:rStyle w:val="ae"/>
                <w:rFonts w:hint="eastAsia"/>
                <w:noProof/>
              </w:rPr>
              <w:t>年のモロッコ銀行法改正</w:t>
            </w:r>
            <w:r w:rsidR="00824304">
              <w:rPr>
                <w:noProof/>
                <w:webHidden/>
              </w:rPr>
              <w:tab/>
            </w:r>
            <w:r w:rsidR="00824304">
              <w:rPr>
                <w:noProof/>
                <w:webHidden/>
              </w:rPr>
              <w:fldChar w:fldCharType="begin"/>
            </w:r>
            <w:r w:rsidR="00824304">
              <w:rPr>
                <w:noProof/>
                <w:webHidden/>
              </w:rPr>
              <w:instrText xml:space="preserve"> PAGEREF _Toc302617239 \h </w:instrText>
            </w:r>
            <w:r w:rsidR="00824304">
              <w:rPr>
                <w:noProof/>
                <w:webHidden/>
              </w:rPr>
            </w:r>
            <w:r w:rsidR="00824304">
              <w:rPr>
                <w:noProof/>
                <w:webHidden/>
              </w:rPr>
              <w:fldChar w:fldCharType="separate"/>
            </w:r>
            <w:r w:rsidR="00824304">
              <w:rPr>
                <w:noProof/>
                <w:webHidden/>
              </w:rPr>
              <w:t>5</w:t>
            </w:r>
            <w:r w:rsidR="00824304">
              <w:rPr>
                <w:noProof/>
                <w:webHidden/>
              </w:rPr>
              <w:fldChar w:fldCharType="end"/>
            </w:r>
          </w:hyperlink>
        </w:p>
        <w:p w:rsidR="00824304" w:rsidRDefault="0050673E">
          <w:pPr>
            <w:pStyle w:val="21"/>
            <w:tabs>
              <w:tab w:val="left" w:pos="630"/>
              <w:tab w:val="right" w:leader="dot" w:pos="8494"/>
            </w:tabs>
            <w:rPr>
              <w:noProof/>
            </w:rPr>
          </w:pPr>
          <w:hyperlink w:anchor="_Toc302617240" w:history="1">
            <w:r w:rsidR="00824304" w:rsidRPr="00753809">
              <w:rPr>
                <w:rStyle w:val="ae"/>
                <w:noProof/>
              </w:rPr>
              <w:t>3.</w:t>
            </w:r>
            <w:r w:rsidR="00824304">
              <w:rPr>
                <w:noProof/>
              </w:rPr>
              <w:tab/>
            </w:r>
            <w:r w:rsidR="00824304" w:rsidRPr="00753809">
              <w:rPr>
                <w:rStyle w:val="ae"/>
                <w:noProof/>
              </w:rPr>
              <w:t>EU</w:t>
            </w:r>
            <w:r w:rsidR="00824304" w:rsidRPr="00753809">
              <w:rPr>
                <w:rStyle w:val="ae"/>
                <w:rFonts w:hint="eastAsia"/>
                <w:noProof/>
              </w:rPr>
              <w:t>銀行法への接近</w:t>
            </w:r>
            <w:r w:rsidR="00824304">
              <w:rPr>
                <w:noProof/>
                <w:webHidden/>
              </w:rPr>
              <w:tab/>
            </w:r>
            <w:r w:rsidR="00824304">
              <w:rPr>
                <w:noProof/>
                <w:webHidden/>
              </w:rPr>
              <w:fldChar w:fldCharType="begin"/>
            </w:r>
            <w:r w:rsidR="00824304">
              <w:rPr>
                <w:noProof/>
                <w:webHidden/>
              </w:rPr>
              <w:instrText xml:space="preserve"> PAGEREF _Toc302617240 \h </w:instrText>
            </w:r>
            <w:r w:rsidR="00824304">
              <w:rPr>
                <w:noProof/>
                <w:webHidden/>
              </w:rPr>
            </w:r>
            <w:r w:rsidR="00824304">
              <w:rPr>
                <w:noProof/>
                <w:webHidden/>
              </w:rPr>
              <w:fldChar w:fldCharType="separate"/>
            </w:r>
            <w:r w:rsidR="00824304">
              <w:rPr>
                <w:noProof/>
                <w:webHidden/>
              </w:rPr>
              <w:t>5</w:t>
            </w:r>
            <w:r w:rsidR="00824304">
              <w:rPr>
                <w:noProof/>
                <w:webHidden/>
              </w:rPr>
              <w:fldChar w:fldCharType="end"/>
            </w:r>
          </w:hyperlink>
        </w:p>
        <w:p w:rsidR="00824304" w:rsidRDefault="0050673E">
          <w:pPr>
            <w:pStyle w:val="31"/>
            <w:tabs>
              <w:tab w:val="left" w:pos="1050"/>
              <w:tab w:val="right" w:leader="dot" w:pos="8494"/>
            </w:tabs>
            <w:rPr>
              <w:noProof/>
            </w:rPr>
          </w:pPr>
          <w:hyperlink w:anchor="_Toc302617241" w:history="1">
            <w:r w:rsidR="00824304" w:rsidRPr="00753809">
              <w:rPr>
                <w:rStyle w:val="ae"/>
                <w:noProof/>
              </w:rPr>
              <w:t>(1)</w:t>
            </w:r>
            <w:r w:rsidR="00824304">
              <w:rPr>
                <w:noProof/>
              </w:rPr>
              <w:tab/>
            </w:r>
            <w:r w:rsidR="00824304" w:rsidRPr="00753809">
              <w:rPr>
                <w:rStyle w:val="ae"/>
                <w:rFonts w:hint="eastAsia"/>
                <w:noProof/>
              </w:rPr>
              <w:t>銀行法</w:t>
            </w:r>
            <w:r w:rsidR="00824304">
              <w:rPr>
                <w:noProof/>
                <w:webHidden/>
              </w:rPr>
              <w:tab/>
            </w:r>
            <w:r w:rsidR="00824304">
              <w:rPr>
                <w:noProof/>
                <w:webHidden/>
              </w:rPr>
              <w:fldChar w:fldCharType="begin"/>
            </w:r>
            <w:r w:rsidR="00824304">
              <w:rPr>
                <w:noProof/>
                <w:webHidden/>
              </w:rPr>
              <w:instrText xml:space="preserve"> PAGEREF _Toc302617241 \h </w:instrText>
            </w:r>
            <w:r w:rsidR="00824304">
              <w:rPr>
                <w:noProof/>
                <w:webHidden/>
              </w:rPr>
            </w:r>
            <w:r w:rsidR="00824304">
              <w:rPr>
                <w:noProof/>
                <w:webHidden/>
              </w:rPr>
              <w:fldChar w:fldCharType="separate"/>
            </w:r>
            <w:r w:rsidR="00824304">
              <w:rPr>
                <w:noProof/>
                <w:webHidden/>
              </w:rPr>
              <w:t>6</w:t>
            </w:r>
            <w:r w:rsidR="00824304">
              <w:rPr>
                <w:noProof/>
                <w:webHidden/>
              </w:rPr>
              <w:fldChar w:fldCharType="end"/>
            </w:r>
          </w:hyperlink>
        </w:p>
        <w:p w:rsidR="00824304" w:rsidRDefault="0050673E">
          <w:pPr>
            <w:pStyle w:val="31"/>
            <w:tabs>
              <w:tab w:val="left" w:pos="1050"/>
              <w:tab w:val="right" w:leader="dot" w:pos="8494"/>
            </w:tabs>
            <w:rPr>
              <w:noProof/>
            </w:rPr>
          </w:pPr>
          <w:hyperlink w:anchor="_Toc302617242" w:history="1">
            <w:r w:rsidR="00824304" w:rsidRPr="00753809">
              <w:rPr>
                <w:rStyle w:val="ae"/>
                <w:noProof/>
              </w:rPr>
              <w:t>(2)</w:t>
            </w:r>
            <w:r w:rsidR="00824304">
              <w:rPr>
                <w:noProof/>
              </w:rPr>
              <w:tab/>
            </w:r>
            <w:r w:rsidR="00824304" w:rsidRPr="00753809">
              <w:rPr>
                <w:rStyle w:val="ae"/>
                <w:rFonts w:hint="eastAsia"/>
                <w:noProof/>
              </w:rPr>
              <w:t>預金保険に関連する法令</w:t>
            </w:r>
            <w:r w:rsidR="00824304">
              <w:rPr>
                <w:noProof/>
                <w:webHidden/>
              </w:rPr>
              <w:tab/>
            </w:r>
            <w:r w:rsidR="00824304">
              <w:rPr>
                <w:noProof/>
                <w:webHidden/>
              </w:rPr>
              <w:fldChar w:fldCharType="begin"/>
            </w:r>
            <w:r w:rsidR="00824304">
              <w:rPr>
                <w:noProof/>
                <w:webHidden/>
              </w:rPr>
              <w:instrText xml:space="preserve"> PAGEREF _Toc302617242 \h </w:instrText>
            </w:r>
            <w:r w:rsidR="00824304">
              <w:rPr>
                <w:noProof/>
                <w:webHidden/>
              </w:rPr>
            </w:r>
            <w:r w:rsidR="00824304">
              <w:rPr>
                <w:noProof/>
                <w:webHidden/>
              </w:rPr>
              <w:fldChar w:fldCharType="separate"/>
            </w:r>
            <w:r w:rsidR="00824304">
              <w:rPr>
                <w:noProof/>
                <w:webHidden/>
              </w:rPr>
              <w:t>6</w:t>
            </w:r>
            <w:r w:rsidR="00824304">
              <w:rPr>
                <w:noProof/>
                <w:webHidden/>
              </w:rPr>
              <w:fldChar w:fldCharType="end"/>
            </w:r>
          </w:hyperlink>
        </w:p>
        <w:p w:rsidR="00824304" w:rsidRDefault="0050673E">
          <w:pPr>
            <w:pStyle w:val="11"/>
            <w:tabs>
              <w:tab w:val="right" w:leader="dot" w:pos="8494"/>
            </w:tabs>
            <w:rPr>
              <w:noProof/>
            </w:rPr>
          </w:pPr>
          <w:hyperlink w:anchor="_Toc302617243" w:history="1">
            <w:r w:rsidR="00824304" w:rsidRPr="00753809">
              <w:rPr>
                <w:rStyle w:val="ae"/>
                <w:rFonts w:hint="eastAsia"/>
                <w:noProof/>
              </w:rPr>
              <w:t>Ⅲ．金融</w:t>
            </w:r>
            <w:r w:rsidR="00824304" w:rsidRPr="00753809">
              <w:rPr>
                <w:rStyle w:val="ae"/>
                <w:noProof/>
              </w:rPr>
              <w:t>FDI</w:t>
            </w:r>
            <w:r w:rsidR="00824304" w:rsidRPr="00753809">
              <w:rPr>
                <w:rStyle w:val="ae"/>
                <w:rFonts w:hint="eastAsia"/>
                <w:noProof/>
              </w:rPr>
              <w:t>とモロッコ銀行市場</w:t>
            </w:r>
            <w:r w:rsidR="00824304">
              <w:rPr>
                <w:noProof/>
                <w:webHidden/>
              </w:rPr>
              <w:tab/>
            </w:r>
            <w:r w:rsidR="00824304">
              <w:rPr>
                <w:noProof/>
                <w:webHidden/>
              </w:rPr>
              <w:fldChar w:fldCharType="begin"/>
            </w:r>
            <w:r w:rsidR="00824304">
              <w:rPr>
                <w:noProof/>
                <w:webHidden/>
              </w:rPr>
              <w:instrText xml:space="preserve"> PAGEREF _Toc302617243 \h </w:instrText>
            </w:r>
            <w:r w:rsidR="00824304">
              <w:rPr>
                <w:noProof/>
                <w:webHidden/>
              </w:rPr>
            </w:r>
            <w:r w:rsidR="00824304">
              <w:rPr>
                <w:noProof/>
                <w:webHidden/>
              </w:rPr>
              <w:fldChar w:fldCharType="separate"/>
            </w:r>
            <w:r w:rsidR="00824304">
              <w:rPr>
                <w:noProof/>
                <w:webHidden/>
              </w:rPr>
              <w:t>6</w:t>
            </w:r>
            <w:r w:rsidR="00824304">
              <w:rPr>
                <w:noProof/>
                <w:webHidden/>
              </w:rPr>
              <w:fldChar w:fldCharType="end"/>
            </w:r>
          </w:hyperlink>
        </w:p>
        <w:p w:rsidR="00824304" w:rsidRDefault="0050673E">
          <w:pPr>
            <w:pStyle w:val="21"/>
            <w:tabs>
              <w:tab w:val="left" w:pos="630"/>
              <w:tab w:val="right" w:leader="dot" w:pos="8494"/>
            </w:tabs>
            <w:rPr>
              <w:noProof/>
            </w:rPr>
          </w:pPr>
          <w:hyperlink w:anchor="_Toc302617244" w:history="1">
            <w:r w:rsidR="00824304" w:rsidRPr="00753809">
              <w:rPr>
                <w:rStyle w:val="ae"/>
                <w:noProof/>
              </w:rPr>
              <w:t>1.</w:t>
            </w:r>
            <w:r w:rsidR="00824304">
              <w:rPr>
                <w:noProof/>
              </w:rPr>
              <w:tab/>
            </w:r>
            <w:r w:rsidR="00824304" w:rsidRPr="00753809">
              <w:rPr>
                <w:rStyle w:val="ae"/>
                <w:rFonts w:hint="eastAsia"/>
                <w:noProof/>
              </w:rPr>
              <w:t>モロッコへの</w:t>
            </w:r>
            <w:r w:rsidR="00824304" w:rsidRPr="00753809">
              <w:rPr>
                <w:rStyle w:val="ae"/>
                <w:noProof/>
              </w:rPr>
              <w:t>FDI</w:t>
            </w:r>
            <w:r w:rsidR="00824304" w:rsidRPr="00753809">
              <w:rPr>
                <w:rStyle w:val="ae"/>
                <w:rFonts w:hint="eastAsia"/>
                <w:noProof/>
              </w:rPr>
              <w:t>流入の特徴</w:t>
            </w:r>
            <w:r w:rsidR="00824304">
              <w:rPr>
                <w:noProof/>
                <w:webHidden/>
              </w:rPr>
              <w:tab/>
            </w:r>
            <w:r w:rsidR="00824304">
              <w:rPr>
                <w:noProof/>
                <w:webHidden/>
              </w:rPr>
              <w:fldChar w:fldCharType="begin"/>
            </w:r>
            <w:r w:rsidR="00824304">
              <w:rPr>
                <w:noProof/>
                <w:webHidden/>
              </w:rPr>
              <w:instrText xml:space="preserve"> PAGEREF _Toc302617244 \h </w:instrText>
            </w:r>
            <w:r w:rsidR="00824304">
              <w:rPr>
                <w:noProof/>
                <w:webHidden/>
              </w:rPr>
            </w:r>
            <w:r w:rsidR="00824304">
              <w:rPr>
                <w:noProof/>
                <w:webHidden/>
              </w:rPr>
              <w:fldChar w:fldCharType="separate"/>
            </w:r>
            <w:r w:rsidR="00824304">
              <w:rPr>
                <w:noProof/>
                <w:webHidden/>
              </w:rPr>
              <w:t>6</w:t>
            </w:r>
            <w:r w:rsidR="00824304">
              <w:rPr>
                <w:noProof/>
                <w:webHidden/>
              </w:rPr>
              <w:fldChar w:fldCharType="end"/>
            </w:r>
          </w:hyperlink>
        </w:p>
        <w:p w:rsidR="00824304" w:rsidRDefault="0050673E">
          <w:pPr>
            <w:pStyle w:val="21"/>
            <w:tabs>
              <w:tab w:val="left" w:pos="630"/>
              <w:tab w:val="right" w:leader="dot" w:pos="8494"/>
            </w:tabs>
            <w:rPr>
              <w:noProof/>
            </w:rPr>
          </w:pPr>
          <w:hyperlink w:anchor="_Toc302617245" w:history="1">
            <w:r w:rsidR="00824304" w:rsidRPr="00753809">
              <w:rPr>
                <w:rStyle w:val="ae"/>
                <w:noProof/>
              </w:rPr>
              <w:t>2.</w:t>
            </w:r>
            <w:r w:rsidR="00824304">
              <w:rPr>
                <w:noProof/>
              </w:rPr>
              <w:tab/>
            </w:r>
            <w:r w:rsidR="00824304" w:rsidRPr="00753809">
              <w:rPr>
                <w:rStyle w:val="ae"/>
                <w:rFonts w:hint="eastAsia"/>
                <w:noProof/>
              </w:rPr>
              <w:t>モロッコにおける外国銀国の現地通貨建て現地債権の拡大</w:t>
            </w:r>
            <w:r w:rsidR="00824304">
              <w:rPr>
                <w:noProof/>
                <w:webHidden/>
              </w:rPr>
              <w:tab/>
            </w:r>
            <w:r w:rsidR="00824304">
              <w:rPr>
                <w:noProof/>
                <w:webHidden/>
              </w:rPr>
              <w:fldChar w:fldCharType="begin"/>
            </w:r>
            <w:r w:rsidR="00824304">
              <w:rPr>
                <w:noProof/>
                <w:webHidden/>
              </w:rPr>
              <w:instrText xml:space="preserve"> PAGEREF _Toc302617245 \h </w:instrText>
            </w:r>
            <w:r w:rsidR="00824304">
              <w:rPr>
                <w:noProof/>
                <w:webHidden/>
              </w:rPr>
            </w:r>
            <w:r w:rsidR="00824304">
              <w:rPr>
                <w:noProof/>
                <w:webHidden/>
              </w:rPr>
              <w:fldChar w:fldCharType="separate"/>
            </w:r>
            <w:r w:rsidR="00824304">
              <w:rPr>
                <w:noProof/>
                <w:webHidden/>
              </w:rPr>
              <w:t>9</w:t>
            </w:r>
            <w:r w:rsidR="00824304">
              <w:rPr>
                <w:noProof/>
                <w:webHidden/>
              </w:rPr>
              <w:fldChar w:fldCharType="end"/>
            </w:r>
          </w:hyperlink>
        </w:p>
        <w:p w:rsidR="00824304" w:rsidRDefault="0050673E">
          <w:pPr>
            <w:pStyle w:val="21"/>
            <w:tabs>
              <w:tab w:val="left" w:pos="630"/>
              <w:tab w:val="right" w:leader="dot" w:pos="8494"/>
            </w:tabs>
            <w:rPr>
              <w:noProof/>
            </w:rPr>
          </w:pPr>
          <w:hyperlink w:anchor="_Toc302617246" w:history="1">
            <w:r w:rsidR="00824304" w:rsidRPr="00753809">
              <w:rPr>
                <w:rStyle w:val="ae"/>
                <w:noProof/>
              </w:rPr>
              <w:t>3.</w:t>
            </w:r>
            <w:r w:rsidR="00824304">
              <w:rPr>
                <w:noProof/>
              </w:rPr>
              <w:tab/>
            </w:r>
            <w:r w:rsidR="00824304" w:rsidRPr="00753809">
              <w:rPr>
                <w:rStyle w:val="ae"/>
                <w:rFonts w:hint="eastAsia"/>
                <w:noProof/>
              </w:rPr>
              <w:t>モロッコの銀行セクターの所有構造の変化</w:t>
            </w:r>
            <w:r w:rsidR="00824304">
              <w:rPr>
                <w:noProof/>
                <w:webHidden/>
              </w:rPr>
              <w:tab/>
            </w:r>
            <w:r w:rsidR="00824304">
              <w:rPr>
                <w:noProof/>
                <w:webHidden/>
              </w:rPr>
              <w:fldChar w:fldCharType="begin"/>
            </w:r>
            <w:r w:rsidR="00824304">
              <w:rPr>
                <w:noProof/>
                <w:webHidden/>
              </w:rPr>
              <w:instrText xml:space="preserve"> PAGEREF _Toc302617246 \h </w:instrText>
            </w:r>
            <w:r w:rsidR="00824304">
              <w:rPr>
                <w:noProof/>
                <w:webHidden/>
              </w:rPr>
            </w:r>
            <w:r w:rsidR="00824304">
              <w:rPr>
                <w:noProof/>
                <w:webHidden/>
              </w:rPr>
              <w:fldChar w:fldCharType="separate"/>
            </w:r>
            <w:r w:rsidR="00824304">
              <w:rPr>
                <w:noProof/>
                <w:webHidden/>
              </w:rPr>
              <w:t>13</w:t>
            </w:r>
            <w:r w:rsidR="00824304">
              <w:rPr>
                <w:noProof/>
                <w:webHidden/>
              </w:rPr>
              <w:fldChar w:fldCharType="end"/>
            </w:r>
          </w:hyperlink>
        </w:p>
        <w:p w:rsidR="00824304" w:rsidRDefault="0050673E">
          <w:pPr>
            <w:pStyle w:val="11"/>
            <w:tabs>
              <w:tab w:val="right" w:leader="dot" w:pos="8494"/>
            </w:tabs>
            <w:rPr>
              <w:noProof/>
            </w:rPr>
          </w:pPr>
          <w:hyperlink w:anchor="_Toc302617247" w:history="1">
            <w:r w:rsidR="00824304" w:rsidRPr="00753809">
              <w:rPr>
                <w:rStyle w:val="ae"/>
                <w:rFonts w:hint="eastAsia"/>
                <w:noProof/>
              </w:rPr>
              <w:t>結びにかえて</w:t>
            </w:r>
            <w:r w:rsidR="00824304">
              <w:rPr>
                <w:noProof/>
                <w:webHidden/>
              </w:rPr>
              <w:tab/>
            </w:r>
            <w:r w:rsidR="00824304">
              <w:rPr>
                <w:noProof/>
                <w:webHidden/>
              </w:rPr>
              <w:fldChar w:fldCharType="begin"/>
            </w:r>
            <w:r w:rsidR="00824304">
              <w:rPr>
                <w:noProof/>
                <w:webHidden/>
              </w:rPr>
              <w:instrText xml:space="preserve"> PAGEREF _Toc302617247 \h </w:instrText>
            </w:r>
            <w:r w:rsidR="00824304">
              <w:rPr>
                <w:noProof/>
                <w:webHidden/>
              </w:rPr>
            </w:r>
            <w:r w:rsidR="00824304">
              <w:rPr>
                <w:noProof/>
                <w:webHidden/>
              </w:rPr>
              <w:fldChar w:fldCharType="separate"/>
            </w:r>
            <w:r w:rsidR="00824304">
              <w:rPr>
                <w:noProof/>
                <w:webHidden/>
              </w:rPr>
              <w:t>17</w:t>
            </w:r>
            <w:r w:rsidR="00824304">
              <w:rPr>
                <w:noProof/>
                <w:webHidden/>
              </w:rPr>
              <w:fldChar w:fldCharType="end"/>
            </w:r>
          </w:hyperlink>
        </w:p>
        <w:p w:rsidR="004C1210" w:rsidRDefault="004C1210">
          <w:r>
            <w:rPr>
              <w:b/>
              <w:bCs/>
              <w:lang w:val="ja-JP"/>
            </w:rPr>
            <w:fldChar w:fldCharType="end"/>
          </w:r>
        </w:p>
      </w:sdtContent>
    </w:sdt>
    <w:p w:rsidR="009D7802" w:rsidRDefault="00692414" w:rsidP="00692414">
      <w:pPr>
        <w:widowControl/>
        <w:jc w:val="left"/>
        <w:rPr>
          <w:rFonts w:ascii="Century" w:eastAsia="ＭＳ 明朝" w:hAnsi="Century" w:cs="Times New Roman"/>
        </w:rPr>
        <w:sectPr w:rsidR="009D7802">
          <w:footerReference w:type="default" r:id="rId9"/>
          <w:pgSz w:w="11906" w:h="16838"/>
          <w:pgMar w:top="1985" w:right="1701" w:bottom="1701" w:left="1701" w:header="851" w:footer="992" w:gutter="0"/>
          <w:cols w:space="425"/>
          <w:docGrid w:type="lines" w:linePitch="360"/>
        </w:sectPr>
      </w:pPr>
      <w:r>
        <w:rPr>
          <w:rFonts w:ascii="Century" w:eastAsia="ＭＳ 明朝" w:hAnsi="Century" w:cs="Times New Roman"/>
        </w:rPr>
        <w:br w:type="page"/>
      </w:r>
    </w:p>
    <w:p w:rsidR="008475D7" w:rsidRDefault="008475D7" w:rsidP="00692414">
      <w:pPr>
        <w:widowControl/>
        <w:jc w:val="left"/>
        <w:rPr>
          <w:rFonts w:ascii="Century" w:eastAsia="ＭＳ 明朝" w:hAnsi="Century" w:cs="Times New Roman"/>
        </w:rPr>
      </w:pPr>
    </w:p>
    <w:p w:rsidR="008475D7" w:rsidRPr="008475D7" w:rsidRDefault="008475D7" w:rsidP="008475D7">
      <w:pPr>
        <w:pStyle w:val="1"/>
      </w:pPr>
      <w:bookmarkStart w:id="1" w:name="_Toc302617235"/>
      <w:r>
        <w:rPr>
          <w:rFonts w:hint="eastAsia"/>
        </w:rPr>
        <w:t>はじめに</w:t>
      </w:r>
      <w:bookmarkEnd w:id="1"/>
    </w:p>
    <w:p w:rsidR="008475D7" w:rsidRPr="008475D7" w:rsidRDefault="008475D7" w:rsidP="008475D7">
      <w:pPr>
        <w:ind w:firstLineChars="100" w:firstLine="210"/>
        <w:jc w:val="left"/>
        <w:rPr>
          <w:rFonts w:ascii="Century" w:eastAsia="ＭＳ 明朝" w:hAnsi="Century" w:cs="Times New Roman"/>
        </w:rPr>
      </w:pPr>
      <w:r w:rsidRPr="008475D7">
        <w:rPr>
          <w:rFonts w:ascii="Century" w:eastAsia="ＭＳ 明朝" w:hAnsi="Century" w:cs="Times New Roman" w:hint="eastAsia"/>
        </w:rPr>
        <w:t>EU(</w:t>
      </w:r>
      <w:r w:rsidRPr="008475D7">
        <w:rPr>
          <w:rFonts w:ascii="Century" w:eastAsia="ＭＳ 明朝" w:hAnsi="Century" w:cs="Times New Roman" w:hint="eastAsia"/>
        </w:rPr>
        <w:t>欧州連合</w:t>
      </w:r>
      <w:r w:rsidRPr="008475D7">
        <w:rPr>
          <w:rFonts w:ascii="Century" w:eastAsia="ＭＳ 明朝" w:hAnsi="Century" w:cs="Times New Roman" w:hint="eastAsia"/>
        </w:rPr>
        <w:t>)</w:t>
      </w:r>
      <w:r w:rsidRPr="008475D7">
        <w:rPr>
          <w:rFonts w:ascii="Century" w:eastAsia="ＭＳ 明朝" w:hAnsi="Century" w:cs="Times New Roman" w:hint="eastAsia"/>
        </w:rPr>
        <w:t>の東方拡大以降、地中海地域は</w:t>
      </w:r>
      <w:r w:rsidRPr="008475D7">
        <w:rPr>
          <w:rFonts w:ascii="Century" w:eastAsia="ＭＳ 明朝" w:hAnsi="Century" w:cs="Times New Roman" w:hint="eastAsia"/>
        </w:rPr>
        <w:t>EU</w:t>
      </w:r>
      <w:r w:rsidRPr="008475D7">
        <w:rPr>
          <w:rFonts w:ascii="Century" w:eastAsia="ＭＳ 明朝" w:hAnsi="Century" w:cs="Times New Roman" w:hint="eastAsia"/>
        </w:rPr>
        <w:t>域内市場の新たなフロンティアとして脚光を浴びつつある</w:t>
      </w:r>
      <w:r w:rsidR="00797A98">
        <w:rPr>
          <w:rStyle w:val="ac"/>
          <w:rFonts w:ascii="Century" w:eastAsia="ＭＳ 明朝" w:hAnsi="Century" w:cs="Times New Roman"/>
        </w:rPr>
        <w:footnoteReference w:id="1"/>
      </w:r>
      <w:r w:rsidRPr="008475D7">
        <w:rPr>
          <w:rFonts w:ascii="Century" w:eastAsia="ＭＳ 明朝" w:hAnsi="Century" w:cs="Times New Roman" w:hint="eastAsia"/>
        </w:rPr>
        <w:t>。歴史的に見た場合、</w:t>
      </w:r>
      <w:r w:rsidRPr="008475D7">
        <w:rPr>
          <w:rFonts w:ascii="Century" w:eastAsia="ＭＳ 明朝" w:hAnsi="Century" w:cs="Times New Roman" w:hint="eastAsia"/>
        </w:rPr>
        <w:t>EU</w:t>
      </w:r>
      <w:r w:rsidRPr="008475D7">
        <w:rPr>
          <w:rFonts w:ascii="Century" w:eastAsia="ＭＳ 明朝" w:hAnsi="Century" w:cs="Times New Roman" w:hint="eastAsia"/>
        </w:rPr>
        <w:t>の対地中海関係は、</w:t>
      </w:r>
      <w:r w:rsidRPr="008475D7">
        <w:rPr>
          <w:rFonts w:ascii="Century" w:eastAsia="ＭＳ 明朝" w:hAnsi="Century" w:cs="Times New Roman" w:hint="eastAsia"/>
        </w:rPr>
        <w:t>1960</w:t>
      </w:r>
      <w:r w:rsidRPr="008475D7">
        <w:rPr>
          <w:rFonts w:ascii="Century" w:eastAsia="ＭＳ 明朝" w:hAnsi="Century" w:cs="Times New Roman" w:hint="eastAsia"/>
        </w:rPr>
        <w:t>年代からの</w:t>
      </w:r>
      <w:r w:rsidRPr="008475D7">
        <w:rPr>
          <w:rFonts w:ascii="Century" w:eastAsia="ＭＳ 明朝" w:hAnsi="Century" w:cs="Times New Roman" w:hint="eastAsia"/>
        </w:rPr>
        <w:t>EC/EU</w:t>
      </w:r>
      <w:r w:rsidRPr="008475D7">
        <w:rPr>
          <w:rFonts w:ascii="Century" w:eastAsia="ＭＳ 明朝" w:hAnsi="Century" w:cs="Times New Roman" w:hint="eastAsia"/>
        </w:rPr>
        <w:t>地中海政策のもとで発展してきたが、</w:t>
      </w:r>
      <w:r w:rsidRPr="008475D7">
        <w:rPr>
          <w:rFonts w:ascii="Century" w:eastAsia="ＭＳ 明朝" w:hAnsi="Century" w:cs="Times New Roman" w:hint="eastAsia"/>
        </w:rPr>
        <w:t>95</w:t>
      </w:r>
      <w:r w:rsidRPr="008475D7">
        <w:rPr>
          <w:rFonts w:ascii="Century" w:eastAsia="ＭＳ 明朝" w:hAnsi="Century" w:cs="Times New Roman" w:hint="eastAsia"/>
        </w:rPr>
        <w:t>年に開始された「バルセロナ・プロセス」により新段階を迎えている。これまで、中東欧における「</w:t>
      </w:r>
      <w:r w:rsidRPr="008475D7">
        <w:rPr>
          <w:rFonts w:ascii="Century" w:eastAsia="ＭＳ 明朝" w:hAnsi="Century" w:cs="Times New Roman" w:hint="eastAsia"/>
        </w:rPr>
        <w:t>FDI</w:t>
      </w:r>
      <w:r w:rsidRPr="008475D7">
        <w:rPr>
          <w:rFonts w:ascii="Century" w:eastAsia="ＭＳ 明朝" w:hAnsi="Century" w:cs="Times New Roman" w:hint="eastAsia"/>
        </w:rPr>
        <w:t>導入指向型経済発展」の一定の成功は、</w:t>
      </w:r>
      <w:r w:rsidRPr="008475D7">
        <w:rPr>
          <w:rFonts w:ascii="Century" w:eastAsia="ＭＳ 明朝" w:hAnsi="Century" w:cs="Times New Roman" w:hint="eastAsia"/>
        </w:rPr>
        <w:t>95</w:t>
      </w:r>
      <w:r w:rsidRPr="008475D7">
        <w:rPr>
          <w:rFonts w:ascii="Century" w:eastAsia="ＭＳ 明朝" w:hAnsi="Century" w:cs="Times New Roman" w:hint="eastAsia"/>
        </w:rPr>
        <w:t>年からの新段階の地中海政策のもとで国内経済改革を推進する地中海諸国に大きなインパクトをもたらしてきた。</w:t>
      </w:r>
      <w:r w:rsidRPr="008475D7">
        <w:rPr>
          <w:rFonts w:ascii="Century" w:eastAsia="ＭＳ 明朝" w:hAnsi="Century" w:cs="Times New Roman" w:hint="eastAsia"/>
        </w:rPr>
        <w:t>2008</w:t>
      </w:r>
      <w:r w:rsidRPr="008475D7">
        <w:rPr>
          <w:rFonts w:ascii="Century" w:eastAsia="ＭＳ 明朝" w:hAnsi="Century" w:cs="Times New Roman" w:hint="eastAsia"/>
        </w:rPr>
        <w:t>年以降、</w:t>
      </w:r>
      <w:r w:rsidRPr="008475D7">
        <w:rPr>
          <w:rFonts w:ascii="Century" w:eastAsia="ＭＳ 明朝" w:hAnsi="Century" w:cs="Times New Roman" w:hint="eastAsia"/>
        </w:rPr>
        <w:t>FDI</w:t>
      </w:r>
      <w:r w:rsidRPr="008475D7">
        <w:rPr>
          <w:rFonts w:ascii="Century" w:eastAsia="ＭＳ 明朝" w:hAnsi="Century" w:cs="Times New Roman" w:hint="eastAsia"/>
        </w:rPr>
        <w:t>流入の一時的な落ち込みが観察できるものの、世界金融経済危機の影響が比較的軽微であった一部地中海諸国、とりわけモロッコでは、</w:t>
      </w:r>
      <w:r w:rsidRPr="008475D7">
        <w:rPr>
          <w:rFonts w:ascii="Century" w:eastAsia="ＭＳ 明朝" w:hAnsi="Century" w:cs="Times New Roman" w:hint="eastAsia"/>
        </w:rPr>
        <w:t>EU</w:t>
      </w:r>
      <w:r w:rsidRPr="008475D7">
        <w:rPr>
          <w:rFonts w:ascii="Century" w:eastAsia="ＭＳ 明朝" w:hAnsi="Century" w:cs="Times New Roman" w:hint="eastAsia"/>
        </w:rPr>
        <w:t>地中海政策に呼応した国内経済改革と</w:t>
      </w:r>
      <w:r w:rsidRPr="008475D7">
        <w:rPr>
          <w:rFonts w:ascii="Century" w:eastAsia="ＭＳ 明朝" w:hAnsi="Century" w:cs="Times New Roman" w:hint="eastAsia"/>
        </w:rPr>
        <w:t>EU</w:t>
      </w:r>
      <w:r w:rsidRPr="008475D7">
        <w:rPr>
          <w:rFonts w:ascii="Century" w:eastAsia="ＭＳ 明朝" w:hAnsi="Century" w:cs="Times New Roman" w:hint="eastAsia"/>
        </w:rPr>
        <w:t>への制度的接近が引き続き追求されている。当該エリアでは、自動車産業を中心に</w:t>
      </w:r>
      <w:r w:rsidRPr="008475D7">
        <w:rPr>
          <w:rFonts w:ascii="Century" w:eastAsia="ＭＳ 明朝" w:hAnsi="Century" w:cs="Times New Roman" w:hint="eastAsia"/>
        </w:rPr>
        <w:t>EU</w:t>
      </w:r>
      <w:r w:rsidRPr="008475D7">
        <w:rPr>
          <w:rFonts w:ascii="Century" w:eastAsia="ＭＳ 明朝" w:hAnsi="Century" w:cs="Times New Roman" w:hint="eastAsia"/>
        </w:rPr>
        <w:t>系企業からの</w:t>
      </w:r>
      <w:r w:rsidRPr="008475D7">
        <w:rPr>
          <w:rFonts w:ascii="Century" w:eastAsia="ＭＳ 明朝" w:hAnsi="Century" w:cs="Times New Roman" w:hint="eastAsia"/>
        </w:rPr>
        <w:t>FDI</w:t>
      </w:r>
      <w:r w:rsidRPr="008475D7">
        <w:rPr>
          <w:rFonts w:ascii="Century" w:eastAsia="ＭＳ 明朝" w:hAnsi="Century" w:cs="Times New Roman" w:hint="eastAsia"/>
        </w:rPr>
        <w:t>流入が急増し、「欧州生産ネットワーク」の南方への伸展が開始されている。</w:t>
      </w:r>
    </w:p>
    <w:p w:rsidR="008475D7" w:rsidRPr="008475D7" w:rsidRDefault="008475D7" w:rsidP="008475D7">
      <w:pPr>
        <w:jc w:val="left"/>
        <w:rPr>
          <w:rFonts w:ascii="Century" w:eastAsia="ＭＳ 明朝" w:hAnsi="Century" w:cs="Times New Roman"/>
        </w:rPr>
      </w:pPr>
      <w:r w:rsidRPr="008475D7">
        <w:rPr>
          <w:rFonts w:ascii="Century" w:eastAsia="ＭＳ 明朝" w:hAnsi="Century" w:cs="Times New Roman" w:hint="eastAsia"/>
        </w:rPr>
        <w:t xml:space="preserve">　</w:t>
      </w:r>
      <w:r w:rsidRPr="008475D7">
        <w:rPr>
          <w:rFonts w:ascii="Century" w:eastAsia="ＭＳ 明朝" w:hAnsi="Century" w:cs="Times New Roman" w:hint="eastAsia"/>
        </w:rPr>
        <w:t>2000</w:t>
      </w:r>
      <w:r w:rsidRPr="008475D7">
        <w:rPr>
          <w:rFonts w:ascii="Century" w:eastAsia="ＭＳ 明朝" w:hAnsi="Century" w:cs="Times New Roman" w:hint="eastAsia"/>
        </w:rPr>
        <w:t>年代、中東欧地域は、</w:t>
      </w:r>
      <w:r w:rsidRPr="008475D7">
        <w:rPr>
          <w:rFonts w:ascii="Century" w:eastAsia="ＭＳ 明朝" w:hAnsi="Century" w:cs="Times New Roman" w:hint="eastAsia"/>
        </w:rPr>
        <w:t>EU</w:t>
      </w:r>
      <w:r w:rsidRPr="008475D7">
        <w:rPr>
          <w:rFonts w:ascii="Century" w:eastAsia="ＭＳ 明朝" w:hAnsi="Century" w:cs="Times New Roman" w:hint="eastAsia"/>
        </w:rPr>
        <w:t>先進諸国所在の多国籍銀行による金融部門への直接投資</w:t>
      </w:r>
      <w:r w:rsidRPr="008475D7">
        <w:rPr>
          <w:rFonts w:ascii="Century" w:eastAsia="ＭＳ 明朝" w:hAnsi="Century" w:cs="Times New Roman" w:hint="eastAsia"/>
        </w:rPr>
        <w:t>(</w:t>
      </w:r>
      <w:r w:rsidRPr="008475D7">
        <w:rPr>
          <w:rFonts w:ascii="Century" w:eastAsia="ＭＳ 明朝" w:hAnsi="Century" w:cs="Times New Roman" w:hint="eastAsia"/>
        </w:rPr>
        <w:t>金融</w:t>
      </w:r>
      <w:r w:rsidRPr="008475D7">
        <w:rPr>
          <w:rFonts w:ascii="Century" w:eastAsia="ＭＳ 明朝" w:hAnsi="Century" w:cs="Times New Roman" w:hint="eastAsia"/>
        </w:rPr>
        <w:t>FDI)</w:t>
      </w:r>
      <w:r w:rsidRPr="008475D7">
        <w:rPr>
          <w:rFonts w:ascii="Century" w:eastAsia="ＭＳ 明朝" w:hAnsi="Century" w:cs="Times New Roman" w:hint="eastAsia"/>
        </w:rPr>
        <w:t>を通じて、</w:t>
      </w:r>
      <w:r w:rsidRPr="008475D7">
        <w:rPr>
          <w:rFonts w:ascii="Century" w:eastAsia="ＭＳ 明朝" w:hAnsi="Century" w:cs="Times New Roman" w:hint="eastAsia"/>
        </w:rPr>
        <w:t>EU</w:t>
      </w:r>
      <w:r w:rsidRPr="008475D7">
        <w:rPr>
          <w:rFonts w:ascii="Century" w:eastAsia="ＭＳ 明朝" w:hAnsi="Century" w:cs="Times New Roman" w:hint="eastAsia"/>
        </w:rPr>
        <w:t>系多国籍銀行のネットワークに包摂され、現地の銀行市場の構造に顕著な変化が生じた。</w:t>
      </w:r>
      <w:r w:rsidRPr="008475D7">
        <w:rPr>
          <w:rFonts w:ascii="Century" w:eastAsia="ＭＳ 明朝" w:hAnsi="Century" w:cs="Times New Roman" w:hint="eastAsia"/>
        </w:rPr>
        <w:t>2000</w:t>
      </w:r>
      <w:r w:rsidRPr="008475D7">
        <w:rPr>
          <w:rFonts w:ascii="Century" w:eastAsia="ＭＳ 明朝" w:hAnsi="Century" w:cs="Times New Roman" w:hint="eastAsia"/>
        </w:rPr>
        <w:t>年以降は中東欧諸国と同様に、地中海エリアにおいても、金融</w:t>
      </w:r>
      <w:r w:rsidRPr="008475D7">
        <w:rPr>
          <w:rFonts w:ascii="Century" w:eastAsia="ＭＳ 明朝" w:hAnsi="Century" w:cs="Times New Roman" w:hint="eastAsia"/>
        </w:rPr>
        <w:t>FDI</w:t>
      </w:r>
      <w:r w:rsidRPr="008475D7">
        <w:rPr>
          <w:rFonts w:ascii="Century" w:eastAsia="ＭＳ 明朝" w:hAnsi="Century" w:cs="Times New Roman" w:hint="eastAsia"/>
        </w:rPr>
        <w:t>が開始されており、上述の「生産ネットワーク」と並行して形成されつつある「金融ネットワーク」について注目する必要が生じている。本報告では、地中海エリアで進む、こうした「金融ネットワーク」形成の現状について、</w:t>
      </w:r>
      <w:r w:rsidRPr="008475D7">
        <w:rPr>
          <w:rFonts w:ascii="Century" w:eastAsia="ＭＳ 明朝" w:hAnsi="Century" w:cs="Times New Roman" w:hint="eastAsia"/>
        </w:rPr>
        <w:t>EU</w:t>
      </w:r>
      <w:r w:rsidR="00E072BA">
        <w:rPr>
          <w:rFonts w:ascii="Century" w:eastAsia="ＭＳ 明朝" w:hAnsi="Century" w:cs="Times New Roman" w:hint="eastAsia"/>
        </w:rPr>
        <w:t>系金融機関の現地展開を精査することで全体像解明の第一歩にしたい</w:t>
      </w:r>
      <w:r w:rsidRPr="008475D7">
        <w:rPr>
          <w:rFonts w:ascii="Century" w:eastAsia="ＭＳ 明朝" w:hAnsi="Century" w:cs="Times New Roman" w:hint="eastAsia"/>
        </w:rPr>
        <w:t>。</w:t>
      </w:r>
    </w:p>
    <w:p w:rsidR="00377B71" w:rsidRDefault="008475D7" w:rsidP="0092737C">
      <w:pPr>
        <w:ind w:firstLineChars="100" w:firstLine="210"/>
        <w:jc w:val="left"/>
        <w:rPr>
          <w:rFonts w:ascii="Century" w:eastAsia="ＭＳ 明朝" w:hAnsi="Century" w:cs="Times New Roman"/>
        </w:rPr>
      </w:pPr>
      <w:r w:rsidRPr="008475D7">
        <w:rPr>
          <w:rFonts w:ascii="Century" w:eastAsia="ＭＳ 明朝" w:hAnsi="Century" w:cs="Times New Roman" w:hint="eastAsia"/>
        </w:rPr>
        <w:t>そのために、</w:t>
      </w:r>
      <w:r w:rsidR="0092737C">
        <w:rPr>
          <w:rFonts w:ascii="Century" w:eastAsia="ＭＳ 明朝" w:hAnsi="Century" w:cs="Times New Roman" w:hint="eastAsia"/>
        </w:rPr>
        <w:t>第</w:t>
      </w:r>
      <w:r w:rsidR="0092737C">
        <w:rPr>
          <w:rFonts w:ascii="Century" w:eastAsia="ＭＳ 明朝" w:hAnsi="Century" w:cs="Times New Roman" w:hint="eastAsia"/>
        </w:rPr>
        <w:t>1</w:t>
      </w:r>
      <w:r w:rsidR="0092737C">
        <w:rPr>
          <w:rFonts w:ascii="Century" w:eastAsia="ＭＳ 明朝" w:hAnsi="Century" w:cs="Times New Roman" w:hint="eastAsia"/>
        </w:rPr>
        <w:t>に</w:t>
      </w:r>
      <w:r w:rsidR="0050673E">
        <w:rPr>
          <w:rFonts w:ascii="Century" w:eastAsia="ＭＳ 明朝" w:hAnsi="Century" w:cs="Times New Roman" w:hint="eastAsia"/>
        </w:rPr>
        <w:t>、これまでの地中海政策の変遷を概括する</w:t>
      </w:r>
      <w:r w:rsidR="006555B5">
        <w:rPr>
          <w:rFonts w:ascii="Century" w:eastAsia="ＭＳ 明朝" w:hAnsi="Century" w:cs="Times New Roman" w:hint="eastAsia"/>
        </w:rPr>
        <w:t>。</w:t>
      </w:r>
      <w:r w:rsidRPr="008475D7">
        <w:rPr>
          <w:rFonts w:ascii="Century" w:eastAsia="ＭＳ 明朝" w:hAnsi="Century" w:cs="Times New Roman" w:hint="eastAsia"/>
        </w:rPr>
        <w:t>第</w:t>
      </w:r>
      <w:r w:rsidR="0092737C">
        <w:rPr>
          <w:rFonts w:ascii="Century" w:eastAsia="ＭＳ 明朝" w:hAnsi="Century" w:cs="Times New Roman" w:hint="eastAsia"/>
        </w:rPr>
        <w:t>2</w:t>
      </w:r>
      <w:r w:rsidRPr="008475D7">
        <w:rPr>
          <w:rFonts w:ascii="Century" w:eastAsia="ＭＳ 明朝" w:hAnsi="Century" w:cs="Times New Roman" w:hint="eastAsia"/>
        </w:rPr>
        <w:t>に、</w:t>
      </w:r>
      <w:r w:rsidRPr="008475D7">
        <w:rPr>
          <w:rFonts w:ascii="Century" w:eastAsia="ＭＳ 明朝" w:hAnsi="Century" w:cs="Times New Roman" w:hint="eastAsia"/>
        </w:rPr>
        <w:t>95</w:t>
      </w:r>
      <w:r w:rsidRPr="008475D7">
        <w:rPr>
          <w:rFonts w:ascii="Century" w:eastAsia="ＭＳ 明朝" w:hAnsi="Century" w:cs="Times New Roman" w:hint="eastAsia"/>
        </w:rPr>
        <w:t>年以降の地中海諸国の金融セクターの展開を把握する。とりわけ、「経済・金融パートナーシップ」を掲げる「バルセロナ・プロセス」のもと、</w:t>
      </w:r>
      <w:r w:rsidRPr="008475D7">
        <w:rPr>
          <w:rFonts w:ascii="Century" w:eastAsia="ＭＳ 明朝" w:hAnsi="Century" w:cs="Times New Roman" w:hint="eastAsia"/>
        </w:rPr>
        <w:t>EU</w:t>
      </w:r>
      <w:r w:rsidRPr="008475D7">
        <w:rPr>
          <w:rFonts w:ascii="Century" w:eastAsia="ＭＳ 明朝" w:hAnsi="Century" w:cs="Times New Roman" w:hint="eastAsia"/>
        </w:rPr>
        <w:t>法制への接近を通じて金融セクターの改革を推進するモロッコの政策動向を整理する。第</w:t>
      </w:r>
      <w:r w:rsidR="0092737C">
        <w:rPr>
          <w:rFonts w:ascii="Century" w:eastAsia="ＭＳ 明朝" w:hAnsi="Century" w:cs="Times New Roman" w:hint="eastAsia"/>
        </w:rPr>
        <w:t>3</w:t>
      </w:r>
      <w:r w:rsidRPr="008475D7">
        <w:rPr>
          <w:rFonts w:ascii="Century" w:eastAsia="ＭＳ 明朝" w:hAnsi="Century" w:cs="Times New Roman" w:hint="eastAsia"/>
        </w:rPr>
        <w:t>に、</w:t>
      </w:r>
      <w:r w:rsidRPr="008475D7">
        <w:rPr>
          <w:rFonts w:ascii="Century" w:eastAsia="ＭＳ 明朝" w:hAnsi="Century" w:cs="Times New Roman" w:hint="eastAsia"/>
        </w:rPr>
        <w:t>EU</w:t>
      </w:r>
      <w:r w:rsidRPr="008475D7">
        <w:rPr>
          <w:rFonts w:ascii="Century" w:eastAsia="ＭＳ 明朝" w:hAnsi="Century" w:cs="Times New Roman" w:hint="eastAsia"/>
        </w:rPr>
        <w:t>系金融機関による地中海諸国向け金融</w:t>
      </w:r>
      <w:r w:rsidRPr="008475D7">
        <w:rPr>
          <w:rFonts w:ascii="Century" w:eastAsia="ＭＳ 明朝" w:hAnsi="Century" w:cs="Times New Roman" w:hint="eastAsia"/>
        </w:rPr>
        <w:t>FDI</w:t>
      </w:r>
      <w:r w:rsidRPr="008475D7">
        <w:rPr>
          <w:rFonts w:ascii="Century" w:eastAsia="ＭＳ 明朝" w:hAnsi="Century" w:cs="Times New Roman" w:hint="eastAsia"/>
        </w:rPr>
        <w:t>のうち、モロッコへの展開に注目し、同国の銀行セクターにおける展開について明らかにする。</w:t>
      </w:r>
      <w:r w:rsidR="00407F04" w:rsidRPr="00407F04">
        <w:rPr>
          <w:rFonts w:ascii="Century" w:eastAsia="ＭＳ 明朝" w:hAnsi="Century" w:cs="Times New Roman" w:hint="eastAsia"/>
        </w:rPr>
        <w:t>具体的には、外国</w:t>
      </w:r>
      <w:r w:rsidRPr="00407F04">
        <w:rPr>
          <w:rFonts w:ascii="Century" w:eastAsia="ＭＳ 明朝" w:hAnsi="Century" w:cs="Times New Roman" w:hint="eastAsia"/>
        </w:rPr>
        <w:t>銀行の参入と現地での業務展開に注目しながら考察を進める。</w:t>
      </w:r>
      <w:r w:rsidR="0092737C" w:rsidRPr="00407F04">
        <w:rPr>
          <w:rFonts w:ascii="Century" w:eastAsia="ＭＳ 明朝" w:hAnsi="Century" w:cs="Times New Roman" w:hint="eastAsia"/>
        </w:rPr>
        <w:t>以上により、</w:t>
      </w:r>
      <w:r w:rsidR="0092737C" w:rsidRPr="008475D7">
        <w:rPr>
          <w:rFonts w:ascii="Century" w:eastAsia="ＭＳ 明朝" w:hAnsi="Century" w:cs="Times New Roman" w:hint="eastAsia"/>
        </w:rPr>
        <w:t>EU</w:t>
      </w:r>
      <w:r w:rsidR="0092737C" w:rsidRPr="008475D7">
        <w:rPr>
          <w:rFonts w:ascii="Century" w:eastAsia="ＭＳ 明朝" w:hAnsi="Century" w:cs="Times New Roman" w:hint="eastAsia"/>
        </w:rPr>
        <w:t>加盟を前提としない一部地中海諸国において新たに形成されつつある、</w:t>
      </w:r>
      <w:r w:rsidR="0092737C" w:rsidRPr="008475D7">
        <w:rPr>
          <w:rFonts w:ascii="Century" w:eastAsia="ＭＳ 明朝" w:hAnsi="Century" w:cs="Times New Roman" w:hint="eastAsia"/>
        </w:rPr>
        <w:t>EU</w:t>
      </w:r>
      <w:r w:rsidR="0092737C" w:rsidRPr="008475D7">
        <w:rPr>
          <w:rFonts w:ascii="Century" w:eastAsia="ＭＳ 明朝" w:hAnsi="Century" w:cs="Times New Roman" w:hint="eastAsia"/>
        </w:rPr>
        <w:t>系金融機関による「金融ネットワーク」の</w:t>
      </w:r>
      <w:r w:rsidR="0092737C">
        <w:rPr>
          <w:rFonts w:ascii="Century" w:eastAsia="ＭＳ 明朝" w:hAnsi="Century" w:cs="Times New Roman" w:hint="eastAsia"/>
        </w:rPr>
        <w:t>具体的な展開の分析に向けた足掛かりとしたい。</w:t>
      </w:r>
    </w:p>
    <w:p w:rsidR="0092737C" w:rsidRPr="0092737C" w:rsidRDefault="0092737C" w:rsidP="0092737C">
      <w:pPr>
        <w:ind w:firstLineChars="100" w:firstLine="210"/>
        <w:jc w:val="left"/>
        <w:rPr>
          <w:rFonts w:ascii="Century" w:eastAsia="ＭＳ 明朝" w:hAnsi="Century" w:cs="Times New Roman"/>
        </w:rPr>
      </w:pPr>
    </w:p>
    <w:p w:rsidR="00454694" w:rsidRDefault="00CE3B72" w:rsidP="00454694">
      <w:pPr>
        <w:pStyle w:val="1"/>
      </w:pPr>
      <w:bookmarkStart w:id="2" w:name="_Toc302617236"/>
      <w:r>
        <w:rPr>
          <w:rFonts w:hint="eastAsia"/>
        </w:rPr>
        <w:t>Ⅰ</w:t>
      </w:r>
      <w:r>
        <w:rPr>
          <w:rFonts w:hint="eastAsia"/>
        </w:rPr>
        <w:t xml:space="preserve"> </w:t>
      </w:r>
      <w:r w:rsidR="00F211FE">
        <w:rPr>
          <w:rFonts w:hint="eastAsia"/>
        </w:rPr>
        <w:t>EU</w:t>
      </w:r>
      <w:r w:rsidR="00F211FE">
        <w:rPr>
          <w:rFonts w:hint="eastAsia"/>
        </w:rPr>
        <w:t>地中海政策</w:t>
      </w:r>
      <w:r w:rsidR="00DD2B3B">
        <w:rPr>
          <w:rFonts w:hint="eastAsia"/>
        </w:rPr>
        <w:t>の展開と</w:t>
      </w:r>
      <w:r w:rsidR="00CE1B2C">
        <w:rPr>
          <w:rFonts w:hint="eastAsia"/>
        </w:rPr>
        <w:t>広域経済圏の形成</w:t>
      </w:r>
      <w:bookmarkEnd w:id="2"/>
    </w:p>
    <w:p w:rsidR="00387765" w:rsidRDefault="00DD2B3B" w:rsidP="00150D1A">
      <w:r>
        <w:rPr>
          <w:rFonts w:hint="eastAsia"/>
        </w:rPr>
        <w:t xml:space="preserve">　</w:t>
      </w:r>
      <w:r w:rsidR="00E86799">
        <w:rPr>
          <w:rFonts w:hint="eastAsia"/>
        </w:rPr>
        <w:t>Ⅰでは、</w:t>
      </w:r>
      <w:r w:rsidR="0092737C">
        <w:rPr>
          <w:rFonts w:hint="eastAsia"/>
        </w:rPr>
        <w:t>これまでの</w:t>
      </w:r>
      <w:r w:rsidR="0092737C">
        <w:rPr>
          <w:rFonts w:hint="eastAsia"/>
        </w:rPr>
        <w:t>EU</w:t>
      </w:r>
      <w:r w:rsidR="0092737C">
        <w:rPr>
          <w:rFonts w:hint="eastAsia"/>
        </w:rPr>
        <w:t>地中海政策の展開を概括し、地中海諸国を包摂しながら形成さ</w:t>
      </w:r>
      <w:r w:rsidR="0092737C">
        <w:rPr>
          <w:rFonts w:hint="eastAsia"/>
        </w:rPr>
        <w:lastRenderedPageBreak/>
        <w:t>れつつある</w:t>
      </w:r>
      <w:r w:rsidR="0092737C">
        <w:rPr>
          <w:rFonts w:hint="eastAsia"/>
        </w:rPr>
        <w:t>EU</w:t>
      </w:r>
      <w:r w:rsidR="00AD7086">
        <w:rPr>
          <w:rFonts w:hint="eastAsia"/>
        </w:rPr>
        <w:t>広域経済圏の現状を</w:t>
      </w:r>
      <w:r w:rsidR="0092737C">
        <w:rPr>
          <w:rFonts w:hint="eastAsia"/>
        </w:rPr>
        <w:t>整理したい。</w:t>
      </w:r>
      <w:r w:rsidR="00E86799">
        <w:rPr>
          <w:rFonts w:hint="eastAsia"/>
        </w:rPr>
        <w:t>第</w:t>
      </w:r>
      <w:r w:rsidR="00E86799">
        <w:rPr>
          <w:rFonts w:hint="eastAsia"/>
        </w:rPr>
        <w:t>1</w:t>
      </w:r>
      <w:r w:rsidR="00E86799">
        <w:rPr>
          <w:rFonts w:hint="eastAsia"/>
        </w:rPr>
        <w:t>に、地中海政策の転換点となった、</w:t>
      </w:r>
      <w:r w:rsidR="00E86799">
        <w:rPr>
          <w:rFonts w:hint="eastAsia"/>
        </w:rPr>
        <w:t>95</w:t>
      </w:r>
      <w:r w:rsidR="00E86799">
        <w:rPr>
          <w:rFonts w:hint="eastAsia"/>
        </w:rPr>
        <w:t>年からの「バルセロナ・プロセス」および「地中海のための連合」</w:t>
      </w:r>
      <w:r w:rsidR="00AD7086">
        <w:rPr>
          <w:rFonts w:hint="eastAsia"/>
        </w:rPr>
        <w:t>を概括する</w:t>
      </w:r>
      <w:r w:rsidR="00E86799">
        <w:rPr>
          <w:rFonts w:hint="eastAsia"/>
        </w:rPr>
        <w:t>。</w:t>
      </w:r>
    </w:p>
    <w:p w:rsidR="00B7102B" w:rsidRDefault="00C3000F" w:rsidP="00B7102B">
      <w:pPr>
        <w:ind w:firstLineChars="100" w:firstLine="210"/>
      </w:pPr>
      <w:r>
        <w:rPr>
          <w:rFonts w:hint="eastAsia"/>
        </w:rPr>
        <w:t>EU</w:t>
      </w:r>
      <w:r>
        <w:rPr>
          <w:rFonts w:hint="eastAsia"/>
        </w:rPr>
        <w:t>の対地中海関係は、</w:t>
      </w:r>
      <w:r>
        <w:rPr>
          <w:rFonts w:hint="eastAsia"/>
        </w:rPr>
        <w:t>1960</w:t>
      </w:r>
      <w:r>
        <w:rPr>
          <w:rFonts w:hint="eastAsia"/>
        </w:rPr>
        <w:t>年代からの地中海政策の展開を通じて確立されてきた</w:t>
      </w:r>
      <w:r w:rsidR="00201B18">
        <w:rPr>
          <w:rStyle w:val="ac"/>
        </w:rPr>
        <w:footnoteReference w:id="2"/>
      </w:r>
      <w:r>
        <w:rPr>
          <w:rFonts w:hint="eastAsia"/>
        </w:rPr>
        <w:t>。</w:t>
      </w:r>
      <w:r w:rsidR="002924A5">
        <w:rPr>
          <w:rFonts w:hint="eastAsia"/>
        </w:rPr>
        <w:t>従来、</w:t>
      </w:r>
      <w:r w:rsidR="002924A5">
        <w:rPr>
          <w:rFonts w:hint="eastAsia"/>
        </w:rPr>
        <w:t>EU</w:t>
      </w:r>
      <w:r w:rsidR="002924A5">
        <w:rPr>
          <w:rFonts w:hint="eastAsia"/>
        </w:rPr>
        <w:t>地中海政策は、</w:t>
      </w:r>
      <w:r w:rsidR="005559E5">
        <w:rPr>
          <w:rFonts w:hint="eastAsia"/>
        </w:rPr>
        <w:t>EU</w:t>
      </w:r>
      <w:r w:rsidR="005559E5">
        <w:rPr>
          <w:rFonts w:hint="eastAsia"/>
        </w:rPr>
        <w:t>近隣地域における</w:t>
      </w:r>
      <w:r w:rsidR="002924A5">
        <w:rPr>
          <w:rFonts w:hint="eastAsia"/>
        </w:rPr>
        <w:t>経済・政治・安全保</w:t>
      </w:r>
      <w:r w:rsidR="005559E5">
        <w:rPr>
          <w:rFonts w:hint="eastAsia"/>
        </w:rPr>
        <w:t>障上の観点から極めて戦略的な内容となって</w:t>
      </w:r>
      <w:r w:rsidR="00D465D5">
        <w:rPr>
          <w:rFonts w:hint="eastAsia"/>
        </w:rPr>
        <w:t>いる。</w:t>
      </w:r>
      <w:r w:rsidR="00B7102B">
        <w:rPr>
          <w:rFonts w:hint="eastAsia"/>
        </w:rPr>
        <w:t>ここでは、欧州委員会などの公式文書の検討を通じて、</w:t>
      </w:r>
      <w:r w:rsidR="00B7102B">
        <w:rPr>
          <w:rFonts w:hint="eastAsia"/>
        </w:rPr>
        <w:t>EU</w:t>
      </w:r>
      <w:r w:rsidR="00B7102B">
        <w:rPr>
          <w:rFonts w:hint="eastAsia"/>
        </w:rPr>
        <w:t>地中海政策の歴史的変遷を</w:t>
      </w:r>
      <w:r w:rsidR="00B7102B">
        <w:rPr>
          <w:rFonts w:hint="eastAsia"/>
        </w:rPr>
        <w:t>3</w:t>
      </w:r>
      <w:r w:rsidR="00B7102B">
        <w:rPr>
          <w:rFonts w:hint="eastAsia"/>
        </w:rPr>
        <w:t>つのフェーズに区分しながら概説する。</w:t>
      </w:r>
    </w:p>
    <w:p w:rsidR="00B7102B" w:rsidRDefault="00B7102B" w:rsidP="00E67BC1">
      <w:pPr>
        <w:ind w:firstLineChars="100" w:firstLine="210"/>
      </w:pPr>
      <w:r>
        <w:rPr>
          <w:rFonts w:hint="eastAsia"/>
        </w:rPr>
        <w:t>地中海政策の原点は、</w:t>
      </w:r>
      <w:r w:rsidR="00C7727D">
        <w:rPr>
          <w:rFonts w:hint="eastAsia"/>
        </w:rPr>
        <w:t>1957</w:t>
      </w:r>
      <w:r>
        <w:rPr>
          <w:rFonts w:hint="eastAsia"/>
        </w:rPr>
        <w:t>年から開始された</w:t>
      </w:r>
      <w:r>
        <w:rPr>
          <w:rFonts w:hint="eastAsia"/>
        </w:rPr>
        <w:t>EEC</w:t>
      </w:r>
      <w:r>
        <w:rPr>
          <w:rFonts w:hint="eastAsia"/>
        </w:rPr>
        <w:t>－地中海諸国間の連合協定締結である。</w:t>
      </w:r>
      <w:r w:rsidR="00C7727D">
        <w:rPr>
          <w:rFonts w:hint="eastAsia"/>
        </w:rPr>
        <w:t>地中海諸国はそれぞれ、</w:t>
      </w:r>
      <w:r w:rsidR="00C7727D">
        <w:rPr>
          <w:rFonts w:hint="eastAsia"/>
        </w:rPr>
        <w:t>EEC</w:t>
      </w:r>
      <w:r w:rsidR="00C7727D">
        <w:rPr>
          <w:rFonts w:hint="eastAsia"/>
        </w:rPr>
        <w:t>との連合協定締結</w:t>
      </w:r>
      <w:r w:rsidR="00AF6C7D">
        <w:rPr>
          <w:rFonts w:hint="eastAsia"/>
        </w:rPr>
        <w:t>に</w:t>
      </w:r>
      <w:r w:rsidR="00C7727D">
        <w:rPr>
          <w:rFonts w:hint="eastAsia"/>
        </w:rPr>
        <w:t>よって、工業製品について</w:t>
      </w:r>
      <w:r w:rsidR="00C7727D">
        <w:rPr>
          <w:rFonts w:hint="eastAsia"/>
        </w:rPr>
        <w:t>EEC</w:t>
      </w:r>
      <w:r w:rsidR="00C7727D">
        <w:rPr>
          <w:rFonts w:hint="eastAsia"/>
        </w:rPr>
        <w:t>市場へのフリーアクセスが可能となった</w:t>
      </w:r>
      <w:r w:rsidR="00C7727D">
        <w:rPr>
          <w:rFonts w:hint="eastAsia"/>
        </w:rPr>
        <w:t>(</w:t>
      </w:r>
      <w:r w:rsidR="00C7727D">
        <w:rPr>
          <w:rFonts w:hint="eastAsia"/>
        </w:rPr>
        <w:t>第</w:t>
      </w:r>
      <w:r w:rsidR="00C7727D">
        <w:rPr>
          <w:rFonts w:hint="eastAsia"/>
        </w:rPr>
        <w:t>1</w:t>
      </w:r>
      <w:r w:rsidR="00C7727D">
        <w:rPr>
          <w:rFonts w:hint="eastAsia"/>
        </w:rPr>
        <w:t>フェーズ：</w:t>
      </w:r>
      <w:r w:rsidR="00C7727D">
        <w:rPr>
          <w:rFonts w:hint="eastAsia"/>
        </w:rPr>
        <w:t>1957</w:t>
      </w:r>
      <w:r w:rsidR="00C7727D">
        <w:rPr>
          <w:rFonts w:hint="eastAsia"/>
        </w:rPr>
        <w:t>～</w:t>
      </w:r>
      <w:r w:rsidR="00C7727D">
        <w:rPr>
          <w:rFonts w:hint="eastAsia"/>
        </w:rPr>
        <w:t>72</w:t>
      </w:r>
      <w:r w:rsidR="00C7727D">
        <w:rPr>
          <w:rFonts w:hint="eastAsia"/>
        </w:rPr>
        <w:t>年</w:t>
      </w:r>
      <w:r w:rsidR="00C7727D">
        <w:rPr>
          <w:rFonts w:hint="eastAsia"/>
        </w:rPr>
        <w:t>)</w:t>
      </w:r>
      <w:r w:rsidR="00AF6C7D">
        <w:rPr>
          <w:rFonts w:hint="eastAsia"/>
        </w:rPr>
        <w:t>。</w:t>
      </w:r>
      <w:r w:rsidR="00AF6C7D">
        <w:rPr>
          <w:rFonts w:hint="eastAsia"/>
        </w:rPr>
        <w:t>1970</w:t>
      </w:r>
      <w:r w:rsidR="00895261">
        <w:rPr>
          <w:rFonts w:hint="eastAsia"/>
        </w:rPr>
        <w:t>年代以降は</w:t>
      </w:r>
      <w:r w:rsidR="00AF6C7D">
        <w:rPr>
          <w:rFonts w:hint="eastAsia"/>
        </w:rPr>
        <w:t>、「包括的地中海政策」や「新地中海政策」と名称を変更したものの、</w:t>
      </w:r>
      <w:r>
        <w:rPr>
          <w:rFonts w:hint="eastAsia"/>
        </w:rPr>
        <w:t>地中海政策の基本的な性格</w:t>
      </w:r>
      <w:r w:rsidR="00895261">
        <w:rPr>
          <w:rFonts w:hint="eastAsia"/>
        </w:rPr>
        <w:t>を特徴づけるのは</w:t>
      </w:r>
      <w:r>
        <w:rPr>
          <w:rFonts w:hint="eastAsia"/>
        </w:rPr>
        <w:t>、</w:t>
      </w:r>
      <w:r w:rsidR="00AF6C7D">
        <w:rPr>
          <w:rFonts w:hint="eastAsia"/>
        </w:rPr>
        <w:t>EC</w:t>
      </w:r>
      <w:r w:rsidR="005559E5">
        <w:rPr>
          <w:rFonts w:hint="eastAsia"/>
        </w:rPr>
        <w:t>市場への</w:t>
      </w:r>
      <w:r w:rsidR="00E67BC1">
        <w:rPr>
          <w:rFonts w:hint="eastAsia"/>
        </w:rPr>
        <w:t>工業製品および一部農産品のフリーアクセスを可能とする</w:t>
      </w:r>
      <w:r w:rsidR="00DD626E">
        <w:rPr>
          <w:rFonts w:hint="eastAsia"/>
        </w:rPr>
        <w:t>非相互的貿易</w:t>
      </w:r>
      <w:r w:rsidR="00E67BC1">
        <w:rPr>
          <w:rFonts w:hint="eastAsia"/>
        </w:rPr>
        <w:t>特恵である</w:t>
      </w:r>
      <w:r w:rsidR="00AF6C7D">
        <w:rPr>
          <w:rFonts w:hint="eastAsia"/>
        </w:rPr>
        <w:t>。同時に、</w:t>
      </w:r>
      <w:r w:rsidR="00AF6C7D">
        <w:rPr>
          <w:rFonts w:hint="eastAsia"/>
        </w:rPr>
        <w:t>EIB</w:t>
      </w:r>
      <w:r>
        <w:rPr>
          <w:rFonts w:hint="eastAsia"/>
        </w:rPr>
        <w:t>による金融・技術支援も開始された</w:t>
      </w:r>
      <w:r w:rsidR="00895261">
        <w:rPr>
          <w:rFonts w:hint="eastAsia"/>
        </w:rPr>
        <w:t>。</w:t>
      </w:r>
      <w:r w:rsidR="00895261">
        <w:rPr>
          <w:rFonts w:hint="eastAsia"/>
        </w:rPr>
        <w:t>70</w:t>
      </w:r>
      <w:r w:rsidR="00895261">
        <w:rPr>
          <w:rFonts w:hint="eastAsia"/>
        </w:rPr>
        <w:t>年代における、</w:t>
      </w:r>
      <w:r w:rsidR="00E67BC1">
        <w:rPr>
          <w:rFonts w:hint="eastAsia"/>
        </w:rPr>
        <w:t>こうした</w:t>
      </w:r>
      <w:r w:rsidR="00E67BC1">
        <w:rPr>
          <w:rFonts w:hint="eastAsia"/>
        </w:rPr>
        <w:t>EC</w:t>
      </w:r>
      <w:r w:rsidR="00E67BC1">
        <w:rPr>
          <w:rFonts w:hint="eastAsia"/>
        </w:rPr>
        <w:t>による特恵貿易スキームの確立</w:t>
      </w:r>
      <w:r w:rsidR="00895261">
        <w:rPr>
          <w:rFonts w:hint="eastAsia"/>
        </w:rPr>
        <w:t>は、貿易面での優遇措置によって工業化を推進し、経済成長を遂げようとする途上国のニーズに一致するものであった</w:t>
      </w:r>
      <w:r w:rsidR="00AF6C7D">
        <w:rPr>
          <w:rFonts w:hint="eastAsia"/>
        </w:rPr>
        <w:t>(</w:t>
      </w:r>
      <w:r>
        <w:rPr>
          <w:rFonts w:hint="eastAsia"/>
        </w:rPr>
        <w:t>第</w:t>
      </w:r>
      <w:r>
        <w:rPr>
          <w:rFonts w:hint="eastAsia"/>
        </w:rPr>
        <w:t>2</w:t>
      </w:r>
      <w:r>
        <w:rPr>
          <w:rFonts w:hint="eastAsia"/>
        </w:rPr>
        <w:t>フェーズ：</w:t>
      </w:r>
      <w:r w:rsidR="00895261">
        <w:rPr>
          <w:rFonts w:hint="eastAsia"/>
        </w:rPr>
        <w:t>1972</w:t>
      </w:r>
      <w:r w:rsidR="00895261">
        <w:rPr>
          <w:rFonts w:hint="eastAsia"/>
        </w:rPr>
        <w:t>～</w:t>
      </w:r>
      <w:r w:rsidR="00895261">
        <w:rPr>
          <w:rFonts w:hint="eastAsia"/>
        </w:rPr>
        <w:t>89</w:t>
      </w:r>
      <w:r w:rsidR="00895261">
        <w:rPr>
          <w:rFonts w:hint="eastAsia"/>
        </w:rPr>
        <w:t>年</w:t>
      </w:r>
      <w:r w:rsidR="00AF6C7D">
        <w:rPr>
          <w:rFonts w:hint="eastAsia"/>
        </w:rPr>
        <w:t>)</w:t>
      </w:r>
      <w:r>
        <w:rPr>
          <w:rFonts w:hint="eastAsia"/>
        </w:rPr>
        <w:t>。</w:t>
      </w:r>
    </w:p>
    <w:p w:rsidR="00D950CF" w:rsidRDefault="00C3000F" w:rsidP="00201B18">
      <w:pPr>
        <w:ind w:firstLineChars="100" w:firstLine="210"/>
      </w:pPr>
      <w:r>
        <w:rPr>
          <w:rFonts w:hint="eastAsia"/>
        </w:rPr>
        <w:t>90</w:t>
      </w:r>
      <w:r>
        <w:rPr>
          <w:rFonts w:hint="eastAsia"/>
        </w:rPr>
        <w:t>年代に入り、</w:t>
      </w:r>
      <w:r>
        <w:rPr>
          <w:rFonts w:hint="eastAsia"/>
        </w:rPr>
        <w:t>EU</w:t>
      </w:r>
      <w:r w:rsidR="00DD626E">
        <w:rPr>
          <w:rFonts w:hint="eastAsia"/>
        </w:rPr>
        <w:t>加盟を前提とする</w:t>
      </w:r>
      <w:r w:rsidR="00C7727D">
        <w:rPr>
          <w:rFonts w:hint="eastAsia"/>
        </w:rPr>
        <w:t>中東欧諸国</w:t>
      </w:r>
      <w:r w:rsidR="00DD626E">
        <w:rPr>
          <w:rFonts w:hint="eastAsia"/>
        </w:rPr>
        <w:t>の</w:t>
      </w:r>
      <w:r w:rsidR="00B6057E">
        <w:rPr>
          <w:rFonts w:hint="eastAsia"/>
        </w:rPr>
        <w:t>市場経済化への</w:t>
      </w:r>
      <w:r w:rsidR="00C7727D">
        <w:rPr>
          <w:rFonts w:hint="eastAsia"/>
        </w:rPr>
        <w:t>支援が開始された。</w:t>
      </w:r>
      <w:r w:rsidR="00B6057E">
        <w:rPr>
          <w:rFonts w:hint="eastAsia"/>
        </w:rPr>
        <w:t>EU</w:t>
      </w:r>
      <w:r w:rsidR="00B6057E">
        <w:rPr>
          <w:rFonts w:hint="eastAsia"/>
        </w:rPr>
        <w:t>は、冷戦終結後の新たな対外政策の対象となる戦略エリアを限定し、積極的な地域協力の推進を目指した。</w:t>
      </w:r>
      <w:r w:rsidR="00DD626E">
        <w:rPr>
          <w:rFonts w:hint="eastAsia"/>
        </w:rPr>
        <w:t>1992</w:t>
      </w:r>
      <w:r w:rsidR="00DD626E">
        <w:rPr>
          <w:rFonts w:hint="eastAsia"/>
        </w:rPr>
        <w:t>年のマーストリヒト条約の調印を終えた</w:t>
      </w:r>
      <w:r w:rsidR="00DD626E">
        <w:rPr>
          <w:rFonts w:hint="eastAsia"/>
        </w:rPr>
        <w:t>EU</w:t>
      </w:r>
      <w:r w:rsidR="00DD626E">
        <w:rPr>
          <w:rFonts w:hint="eastAsia"/>
        </w:rPr>
        <w:t>は、</w:t>
      </w:r>
      <w:r w:rsidR="005559E5">
        <w:rPr>
          <w:rFonts w:hint="eastAsia"/>
        </w:rPr>
        <w:t>「</w:t>
      </w:r>
      <w:r w:rsidR="00DD626E">
        <w:rPr>
          <w:rFonts w:hint="eastAsia"/>
        </w:rPr>
        <w:t>中東欧諸国と同様に、その歴史的・地理的な結びつきのため、</w:t>
      </w:r>
      <w:r w:rsidR="00DD626E">
        <w:rPr>
          <w:rFonts w:hint="eastAsia"/>
        </w:rPr>
        <w:t>EU</w:t>
      </w:r>
      <w:r w:rsidR="00DD626E">
        <w:rPr>
          <w:rFonts w:hint="eastAsia"/>
        </w:rPr>
        <w:t>の南方に位置する地中海諸国において特別な責任を有している」との立場を明らかにした</w:t>
      </w:r>
      <w:r w:rsidR="005559E5">
        <w:rPr>
          <w:rStyle w:val="ac"/>
        </w:rPr>
        <w:footnoteReference w:id="3"/>
      </w:r>
      <w:r w:rsidR="00DD626E">
        <w:rPr>
          <w:rFonts w:hint="eastAsia"/>
        </w:rPr>
        <w:t>。とりわけ、</w:t>
      </w:r>
      <w:r w:rsidR="00DD626E">
        <w:rPr>
          <w:rFonts w:hint="eastAsia"/>
        </w:rPr>
        <w:t>1995</w:t>
      </w:r>
      <w:r w:rsidR="00DD626E">
        <w:rPr>
          <w:rFonts w:hint="eastAsia"/>
        </w:rPr>
        <w:t>年からの</w:t>
      </w:r>
      <w:r w:rsidR="00DD626E">
        <w:rPr>
          <w:rFonts w:hint="eastAsia"/>
        </w:rPr>
        <w:t>EU</w:t>
      </w:r>
      <w:r w:rsidR="005559E5">
        <w:rPr>
          <w:rFonts w:hint="eastAsia"/>
        </w:rPr>
        <w:t>－地中海諸国間における新たな</w:t>
      </w:r>
      <w:r w:rsidR="00DD626E">
        <w:rPr>
          <w:rFonts w:hint="eastAsia"/>
        </w:rPr>
        <w:t>経済的・政治的な地域間連携の取り組みは「バルセロ</w:t>
      </w:r>
      <w:r w:rsidR="005559E5">
        <w:rPr>
          <w:rFonts w:hint="eastAsia"/>
        </w:rPr>
        <w:t>ナ・プロセス」と呼ばれる</w:t>
      </w:r>
      <w:r w:rsidR="00B6057E">
        <w:rPr>
          <w:rFonts w:hint="eastAsia"/>
        </w:rPr>
        <w:t>(</w:t>
      </w:r>
      <w:r w:rsidR="00B6057E">
        <w:rPr>
          <w:rFonts w:hint="eastAsia"/>
        </w:rPr>
        <w:t>第</w:t>
      </w:r>
      <w:r w:rsidR="00B6057E">
        <w:rPr>
          <w:rFonts w:hint="eastAsia"/>
        </w:rPr>
        <w:t>3</w:t>
      </w:r>
      <w:r w:rsidR="00B6057E">
        <w:rPr>
          <w:rFonts w:hint="eastAsia"/>
        </w:rPr>
        <w:t>フェーズ：</w:t>
      </w:r>
      <w:r w:rsidR="00B6057E">
        <w:rPr>
          <w:rFonts w:hint="eastAsia"/>
        </w:rPr>
        <w:t>1995</w:t>
      </w:r>
      <w:r w:rsidR="00B6057E">
        <w:rPr>
          <w:rFonts w:hint="eastAsia"/>
        </w:rPr>
        <w:t>～</w:t>
      </w:r>
      <w:r w:rsidR="00B6057E">
        <w:rPr>
          <w:rFonts w:hint="eastAsia"/>
        </w:rPr>
        <w:t>2008</w:t>
      </w:r>
      <w:r w:rsidR="00B6057E">
        <w:rPr>
          <w:rFonts w:hint="eastAsia"/>
        </w:rPr>
        <w:t>年</w:t>
      </w:r>
      <w:r w:rsidR="00B6057E">
        <w:rPr>
          <w:rFonts w:hint="eastAsia"/>
        </w:rPr>
        <w:t>)</w:t>
      </w:r>
      <w:r w:rsidR="005559E5">
        <w:rPr>
          <w:rFonts w:hint="eastAsia"/>
        </w:rPr>
        <w:t>。</w:t>
      </w:r>
      <w:r w:rsidR="00B6057E">
        <w:rPr>
          <w:rFonts w:hint="eastAsia"/>
        </w:rPr>
        <w:t>この新段階の地中海政策</w:t>
      </w:r>
      <w:r w:rsidR="005559E5">
        <w:rPr>
          <w:rFonts w:hint="eastAsia"/>
        </w:rPr>
        <w:t>のもと、当該エリアの経済発展戦略として、</w:t>
      </w:r>
      <w:r w:rsidR="00B6057E">
        <w:rPr>
          <w:rFonts w:hint="eastAsia"/>
        </w:rPr>
        <w:t>新たに</w:t>
      </w:r>
      <w:r w:rsidR="00B6057E">
        <w:rPr>
          <w:rFonts w:hint="eastAsia"/>
        </w:rPr>
        <w:t>FDI</w:t>
      </w:r>
      <w:r w:rsidR="00B6057E">
        <w:rPr>
          <w:rFonts w:hint="eastAsia"/>
        </w:rPr>
        <w:t>の導入が指向された。欧州委員会は、</w:t>
      </w:r>
      <w:r w:rsidR="00B6057E" w:rsidRPr="00B6057E">
        <w:rPr>
          <w:rFonts w:hint="eastAsia"/>
        </w:rPr>
        <w:t>「マグレブ諸国経済が再び成長軌道に乗るためには、当該エリアに対する投資の急増が不可欠である。同時に、そうした投資急増のために、投資家が一定の収益を期待できるような、当該エリア経済全体の良好なパフォーマンスが求められる。マグレブ諸国は、外国資本を惹きつけ、国内の投資家が確信を持つことができるような環境を生みださなければならない。そうした環境は、法の整備、経済統合、民間貯蓄のアヴェイラビリティ、各種支援体制などの客観的要因のほか、当該地域の安定性や信認などの主観的要因からなる」と指摘した</w:t>
      </w:r>
      <w:r w:rsidR="00B6057E" w:rsidRPr="00B6057E">
        <w:rPr>
          <w:vertAlign w:val="superscript"/>
        </w:rPr>
        <w:footnoteReference w:id="4"/>
      </w:r>
      <w:r w:rsidR="00B6057E" w:rsidRPr="00B6057E">
        <w:rPr>
          <w:rFonts w:hint="eastAsia"/>
        </w:rPr>
        <w:t>。</w:t>
      </w:r>
    </w:p>
    <w:p w:rsidR="00F0204E" w:rsidRDefault="00000568" w:rsidP="00201B18">
      <w:pPr>
        <w:ind w:firstLineChars="100" w:firstLine="210"/>
      </w:pPr>
      <w:r>
        <w:rPr>
          <w:rFonts w:hint="eastAsia"/>
        </w:rPr>
        <w:t>1995</w:t>
      </w:r>
      <w:r w:rsidR="00DD66DF">
        <w:rPr>
          <w:rFonts w:hint="eastAsia"/>
        </w:rPr>
        <w:t>年以降の地中海</w:t>
      </w:r>
      <w:r>
        <w:rPr>
          <w:rFonts w:hint="eastAsia"/>
        </w:rPr>
        <w:t>政策のコンセプトは、</w:t>
      </w:r>
      <w:r>
        <w:rPr>
          <w:rFonts w:hint="eastAsia"/>
        </w:rPr>
        <w:t>FDI</w:t>
      </w:r>
      <w:r>
        <w:rPr>
          <w:rFonts w:hint="eastAsia"/>
        </w:rPr>
        <w:t>を通じて当該エリアを</w:t>
      </w:r>
      <w:r>
        <w:rPr>
          <w:rFonts w:hint="eastAsia"/>
        </w:rPr>
        <w:t>EU</w:t>
      </w:r>
      <w:r>
        <w:rPr>
          <w:rFonts w:hint="eastAsia"/>
        </w:rPr>
        <w:t>の「生産ネットワーク」に組み込むことによって、高い成長率の実現を目指す点にあると考えられる。</w:t>
      </w:r>
      <w:r w:rsidR="005559E5">
        <w:rPr>
          <w:rFonts w:hint="eastAsia"/>
        </w:rPr>
        <w:t>新段階の地中海政策</w:t>
      </w:r>
      <w:r w:rsidR="00D5270E">
        <w:rPr>
          <w:rFonts w:hint="eastAsia"/>
        </w:rPr>
        <w:t>は</w:t>
      </w:r>
      <w:r w:rsidR="008F4951">
        <w:rPr>
          <w:rFonts w:hint="eastAsia"/>
        </w:rPr>
        <w:t>、</w:t>
      </w:r>
      <w:r w:rsidR="00C5712C">
        <w:rPr>
          <w:rFonts w:hint="eastAsia"/>
        </w:rPr>
        <w:t>新世代</w:t>
      </w:r>
      <w:r w:rsidR="00E06AFC">
        <w:rPr>
          <w:rFonts w:hint="eastAsia"/>
        </w:rPr>
        <w:t>連合協定</w:t>
      </w:r>
      <w:r w:rsidR="00E06AFC">
        <w:rPr>
          <w:rFonts w:hint="eastAsia"/>
        </w:rPr>
        <w:t>(Association Agreement)</w:t>
      </w:r>
      <w:r w:rsidR="00CE1B2C">
        <w:rPr>
          <w:rFonts w:hint="eastAsia"/>
        </w:rPr>
        <w:t>と呼ばれる包括的な</w:t>
      </w:r>
      <w:r w:rsidR="00CE1B2C">
        <w:rPr>
          <w:rFonts w:hint="eastAsia"/>
        </w:rPr>
        <w:t>FTA</w:t>
      </w:r>
      <w:r w:rsidR="00CE1B2C">
        <w:rPr>
          <w:rFonts w:hint="eastAsia"/>
        </w:rPr>
        <w:t>締結に向けた取り組みと、金融・技術支援スキームから成る</w:t>
      </w:r>
      <w:r w:rsidR="008F4951">
        <w:rPr>
          <w:rFonts w:hint="eastAsia"/>
        </w:rPr>
        <w:t>。</w:t>
      </w:r>
      <w:r w:rsidR="00377B71">
        <w:rPr>
          <w:rFonts w:hint="eastAsia"/>
        </w:rPr>
        <w:t>具体的には、</w:t>
      </w:r>
      <w:r w:rsidR="00377B71">
        <w:rPr>
          <w:rFonts w:hint="eastAsia"/>
        </w:rPr>
        <w:t>FDI</w:t>
      </w:r>
      <w:r w:rsidR="00377B71">
        <w:rPr>
          <w:rFonts w:hint="eastAsia"/>
        </w:rPr>
        <w:t>流入を念</w:t>
      </w:r>
      <w:r w:rsidR="00377B71">
        <w:rPr>
          <w:rFonts w:hint="eastAsia"/>
        </w:rPr>
        <w:lastRenderedPageBreak/>
        <w:t>頭においた投資受入国側の環境整備</w:t>
      </w:r>
      <w:r w:rsidR="00C5712C">
        <w:rPr>
          <w:rFonts w:hint="eastAsia"/>
        </w:rPr>
        <w:t>を軸心に据えると共に、当該諸国の「グッドガバナンス」の達成に照準を合わせた各種支援プログラムを履行する</w:t>
      </w:r>
      <w:r w:rsidR="00201B18">
        <w:rPr>
          <w:rFonts w:hint="eastAsia"/>
        </w:rPr>
        <w:t>。</w:t>
      </w:r>
      <w:r w:rsidR="003C285D">
        <w:rPr>
          <w:rFonts w:hint="eastAsia"/>
        </w:rPr>
        <w:t>また、</w:t>
      </w:r>
      <w:r w:rsidR="00C5712C">
        <w:rPr>
          <w:rFonts w:hint="eastAsia"/>
        </w:rPr>
        <w:t>EU</w:t>
      </w:r>
      <w:r w:rsidR="00C5712C">
        <w:rPr>
          <w:rFonts w:hint="eastAsia"/>
        </w:rPr>
        <w:t>・地中海自由貿易圏の青写真を提示し、</w:t>
      </w:r>
      <w:r w:rsidR="007359DE">
        <w:rPr>
          <w:rFonts w:hint="eastAsia"/>
        </w:rPr>
        <w:t>汎</w:t>
      </w:r>
      <w:r w:rsidR="00C5712C">
        <w:rPr>
          <w:rFonts w:hint="eastAsia"/>
        </w:rPr>
        <w:t>欧州</w:t>
      </w:r>
      <w:r w:rsidR="007359DE">
        <w:rPr>
          <w:rFonts w:hint="eastAsia"/>
        </w:rPr>
        <w:t>・</w:t>
      </w:r>
      <w:r w:rsidR="00C5712C">
        <w:rPr>
          <w:rFonts w:hint="eastAsia"/>
        </w:rPr>
        <w:t>地中海原産地規則</w:t>
      </w:r>
      <w:r w:rsidR="007359DE">
        <w:rPr>
          <w:rFonts w:hint="eastAsia"/>
        </w:rPr>
        <w:t>の導入を推進している</w:t>
      </w:r>
      <w:r w:rsidR="00C5712C">
        <w:rPr>
          <w:rFonts w:hint="eastAsia"/>
        </w:rPr>
        <w:t>。</w:t>
      </w:r>
      <w:r w:rsidR="00C5712C">
        <w:rPr>
          <w:rFonts w:hint="eastAsia"/>
        </w:rPr>
        <w:t>2011</w:t>
      </w:r>
      <w:r w:rsidR="00C5712C">
        <w:rPr>
          <w:rFonts w:hint="eastAsia"/>
        </w:rPr>
        <w:t>年</w:t>
      </w:r>
      <w:r w:rsidR="007359DE">
        <w:rPr>
          <w:rFonts w:hint="eastAsia"/>
        </w:rPr>
        <w:t>4</w:t>
      </w:r>
      <w:r w:rsidR="007359DE">
        <w:rPr>
          <w:rFonts w:hint="eastAsia"/>
        </w:rPr>
        <w:t>月には、</w:t>
      </w:r>
      <w:r w:rsidR="007359DE">
        <w:rPr>
          <w:rFonts w:hint="eastAsia"/>
        </w:rPr>
        <w:t>EU</w:t>
      </w:r>
      <w:r w:rsidR="007359DE">
        <w:rPr>
          <w:rFonts w:hint="eastAsia"/>
        </w:rPr>
        <w:t>閣僚理事会が同規則に関する地域条約の署名を承認した</w:t>
      </w:r>
      <w:r w:rsidR="007359DE">
        <w:rPr>
          <w:rStyle w:val="ac"/>
        </w:rPr>
        <w:footnoteReference w:id="5"/>
      </w:r>
      <w:r w:rsidR="007359DE">
        <w:rPr>
          <w:rFonts w:hint="eastAsia"/>
        </w:rPr>
        <w:t>。</w:t>
      </w:r>
      <w:r w:rsidR="00B6057E" w:rsidRPr="009243E3">
        <w:rPr>
          <w:rFonts w:hint="eastAsia"/>
        </w:rPr>
        <w:t>こうした</w:t>
      </w:r>
      <w:r w:rsidR="00C5712C">
        <w:rPr>
          <w:rFonts w:hint="eastAsia"/>
        </w:rPr>
        <w:t>新段階の</w:t>
      </w:r>
      <w:r w:rsidR="00377B71" w:rsidRPr="009243E3">
        <w:rPr>
          <w:rFonts w:hint="eastAsia"/>
        </w:rPr>
        <w:t>地中海政策</w:t>
      </w:r>
      <w:r w:rsidR="00C3000F" w:rsidRPr="009243E3">
        <w:rPr>
          <w:rFonts w:hint="eastAsia"/>
        </w:rPr>
        <w:t>の制度設計</w:t>
      </w:r>
      <w:r w:rsidR="00B6057E" w:rsidRPr="009243E3">
        <w:rPr>
          <w:rFonts w:hint="eastAsia"/>
        </w:rPr>
        <w:t>には</w:t>
      </w:r>
      <w:r w:rsidR="002924A5" w:rsidRPr="009243E3">
        <w:rPr>
          <w:rFonts w:hint="eastAsia"/>
        </w:rPr>
        <w:t>、</w:t>
      </w:r>
      <w:r w:rsidR="00C3000F" w:rsidRPr="009243E3">
        <w:rPr>
          <w:rFonts w:hint="eastAsia"/>
        </w:rPr>
        <w:t>FTA</w:t>
      </w:r>
      <w:r w:rsidR="00C3000F" w:rsidRPr="009243E3">
        <w:rPr>
          <w:rFonts w:hint="eastAsia"/>
        </w:rPr>
        <w:t>締結によって</w:t>
      </w:r>
      <w:r w:rsidR="005F3F3E">
        <w:rPr>
          <w:rFonts w:hint="eastAsia"/>
        </w:rPr>
        <w:t>EU</w:t>
      </w:r>
      <w:r w:rsidR="005F3F3E">
        <w:rPr>
          <w:rFonts w:hint="eastAsia"/>
        </w:rPr>
        <w:t>の周辺諸国を包摂する広域経済圏を形成し、</w:t>
      </w:r>
      <w:r w:rsidR="00C3000F" w:rsidRPr="009243E3">
        <w:rPr>
          <w:rFonts w:hint="eastAsia"/>
        </w:rPr>
        <w:t>貿易および投資市場の確保</w:t>
      </w:r>
      <w:r w:rsidR="00377B71" w:rsidRPr="009243E3">
        <w:rPr>
          <w:rFonts w:hint="eastAsia"/>
        </w:rPr>
        <w:t>を追求</w:t>
      </w:r>
      <w:r w:rsidR="00605921">
        <w:rPr>
          <w:rFonts w:hint="eastAsia"/>
        </w:rPr>
        <w:t>しようとする</w:t>
      </w:r>
      <w:r w:rsidR="00C3000F" w:rsidRPr="009243E3">
        <w:rPr>
          <w:rFonts w:hint="eastAsia"/>
        </w:rPr>
        <w:t>EU</w:t>
      </w:r>
      <w:r w:rsidR="00605921">
        <w:rPr>
          <w:rFonts w:hint="eastAsia"/>
        </w:rPr>
        <w:t>側の思惑が反映されている。</w:t>
      </w:r>
      <w:r w:rsidR="00201B18">
        <w:rPr>
          <w:rFonts w:hint="eastAsia"/>
        </w:rPr>
        <w:t>欧州委員会によれば、</w:t>
      </w:r>
      <w:r w:rsidR="00201B18">
        <w:rPr>
          <w:rFonts w:hint="eastAsia"/>
        </w:rPr>
        <w:t>95</w:t>
      </w:r>
      <w:r w:rsidR="005F3F3E">
        <w:rPr>
          <w:rFonts w:hint="eastAsia"/>
        </w:rPr>
        <w:t>年からの当該諸国とのパートナーシップの核心</w:t>
      </w:r>
      <w:r w:rsidR="00201B18">
        <w:rPr>
          <w:rFonts w:hint="eastAsia"/>
        </w:rPr>
        <w:t>は、「貿易・投資・協力」の強化を目指す地域間協力の成果を国内経済政策へ還元していくことであると指摘されている。</w:t>
      </w:r>
    </w:p>
    <w:p w:rsidR="0074319A" w:rsidRDefault="00797A98" w:rsidP="00201B18">
      <w:pPr>
        <w:ind w:firstLineChars="100" w:firstLine="210"/>
      </w:pPr>
      <w:r>
        <w:rPr>
          <w:rFonts w:hint="eastAsia"/>
        </w:rPr>
        <w:t>2004</w:t>
      </w:r>
      <w:r w:rsidR="00C5712C">
        <w:rPr>
          <w:rFonts w:hint="eastAsia"/>
        </w:rPr>
        <w:t>年からは、</w:t>
      </w:r>
      <w:r w:rsidR="009243E3">
        <w:rPr>
          <w:rFonts w:hint="eastAsia"/>
        </w:rPr>
        <w:t>以上のよう</w:t>
      </w:r>
      <w:r w:rsidR="00605921">
        <w:rPr>
          <w:rFonts w:hint="eastAsia"/>
        </w:rPr>
        <w:t>な</w:t>
      </w:r>
      <w:r w:rsidR="009243E3">
        <w:rPr>
          <w:rFonts w:hint="eastAsia"/>
        </w:rPr>
        <w:t>当該エリアへの支援</w:t>
      </w:r>
      <w:r w:rsidR="00201B18">
        <w:rPr>
          <w:rFonts w:hint="eastAsia"/>
        </w:rPr>
        <w:t>は、南コーカサス地域</w:t>
      </w:r>
      <w:r w:rsidR="00201B18">
        <w:rPr>
          <w:rFonts w:hint="eastAsia"/>
        </w:rPr>
        <w:t>(</w:t>
      </w:r>
      <w:r w:rsidR="00201B18">
        <w:rPr>
          <w:rFonts w:hint="eastAsia"/>
        </w:rPr>
        <w:t>アルメニア・アゼルバイジャン・グルジア</w:t>
      </w:r>
      <w:r w:rsidR="00201B18">
        <w:rPr>
          <w:rFonts w:hint="eastAsia"/>
        </w:rPr>
        <w:t>)</w:t>
      </w:r>
      <w:r w:rsidR="00C5712C">
        <w:rPr>
          <w:rFonts w:hint="eastAsia"/>
        </w:rPr>
        <w:t>などと共に</w:t>
      </w:r>
      <w:r>
        <w:rPr>
          <w:rFonts w:hint="eastAsia"/>
        </w:rPr>
        <w:t>欧州近隣諸国政策</w:t>
      </w:r>
      <w:r>
        <w:rPr>
          <w:rFonts w:hint="eastAsia"/>
        </w:rPr>
        <w:t>(ENP)</w:t>
      </w:r>
      <w:r>
        <w:rPr>
          <w:rFonts w:hint="eastAsia"/>
        </w:rPr>
        <w:t>のもとで一元化</w:t>
      </w:r>
      <w:r w:rsidR="00201B18">
        <w:rPr>
          <w:rFonts w:hint="eastAsia"/>
        </w:rPr>
        <w:t>された。</w:t>
      </w:r>
      <w:r w:rsidR="009243E3">
        <w:rPr>
          <w:rFonts w:hint="eastAsia"/>
        </w:rPr>
        <w:t>ENP</w:t>
      </w:r>
      <w:r w:rsidR="009243E3">
        <w:rPr>
          <w:rFonts w:hint="eastAsia"/>
        </w:rPr>
        <w:t>の目的は、</w:t>
      </w:r>
      <w:r w:rsidR="009243E3">
        <w:rPr>
          <w:rFonts w:hint="eastAsia"/>
        </w:rPr>
        <w:t>EU</w:t>
      </w:r>
      <w:r w:rsidR="009243E3">
        <w:rPr>
          <w:rFonts w:hint="eastAsia"/>
        </w:rPr>
        <w:t>の基本的価値である「民主主義・人権・法の支配・市場経済」に基づき、近隣諸国との経済協力と政治対話の促進を通じた近隣エリアの平和的安定を確保することである。</w:t>
      </w:r>
      <w:r w:rsidR="00201B18">
        <w:rPr>
          <w:rFonts w:hint="eastAsia"/>
        </w:rPr>
        <w:t>2008</w:t>
      </w:r>
      <w:r w:rsidR="00201B18">
        <w:rPr>
          <w:rFonts w:hint="eastAsia"/>
        </w:rPr>
        <w:t>年</w:t>
      </w:r>
      <w:r w:rsidR="00C5712C">
        <w:rPr>
          <w:rFonts w:hint="eastAsia"/>
        </w:rPr>
        <w:t>以降</w:t>
      </w:r>
      <w:r w:rsidR="00093493">
        <w:rPr>
          <w:rFonts w:hint="eastAsia"/>
        </w:rPr>
        <w:t>、</w:t>
      </w:r>
      <w:r w:rsidR="00CA57F6">
        <w:rPr>
          <w:rFonts w:hint="eastAsia"/>
        </w:rPr>
        <w:t>EU</w:t>
      </w:r>
      <w:r w:rsidR="00CA57F6">
        <w:rPr>
          <w:rFonts w:hint="eastAsia"/>
        </w:rPr>
        <w:t>は</w:t>
      </w:r>
      <w:r w:rsidR="00201B18">
        <w:rPr>
          <w:rFonts w:hint="eastAsia"/>
        </w:rPr>
        <w:t>「バルセロナ・プロセス」を「地中海のための連合」として更生し、両地域間の政治対話の促進と</w:t>
      </w:r>
      <w:r w:rsidR="00CA57F6">
        <w:rPr>
          <w:rFonts w:hint="eastAsia"/>
        </w:rPr>
        <w:t>自由貿易圏創設に向けた交渉の継続について地中諸国との合意に達した</w:t>
      </w:r>
      <w:r w:rsidR="009243E3">
        <w:rPr>
          <w:rFonts w:hint="eastAsia"/>
        </w:rPr>
        <w:t>。</w:t>
      </w:r>
    </w:p>
    <w:p w:rsidR="00150D1A" w:rsidRDefault="00150D1A" w:rsidP="00201B18">
      <w:pPr>
        <w:ind w:firstLineChars="100" w:firstLine="210"/>
      </w:pPr>
    </w:p>
    <w:p w:rsidR="00D5270E" w:rsidRPr="00150D1A" w:rsidRDefault="00150D1A" w:rsidP="00150D1A">
      <w:pPr>
        <w:pStyle w:val="1"/>
      </w:pPr>
      <w:bookmarkStart w:id="3" w:name="_Toc302617237"/>
      <w:r>
        <w:rPr>
          <w:rFonts w:hint="eastAsia"/>
        </w:rPr>
        <w:t>Ⅱ．モロッコにおける金融法制のＥＵへの接近</w:t>
      </w:r>
      <w:bookmarkEnd w:id="3"/>
    </w:p>
    <w:p w:rsidR="00D5270E" w:rsidRPr="00150D1A" w:rsidRDefault="0069122A" w:rsidP="00150D1A">
      <w:pPr>
        <w:pStyle w:val="2"/>
        <w:numPr>
          <w:ilvl w:val="0"/>
          <w:numId w:val="3"/>
        </w:numPr>
        <w:rPr>
          <w:color w:val="000000" w:themeColor="text1"/>
        </w:rPr>
      </w:pPr>
      <w:bookmarkStart w:id="4" w:name="_Toc302617238"/>
      <w:r w:rsidRPr="0069122A">
        <w:rPr>
          <w:rFonts w:hint="eastAsia"/>
          <w:color w:val="000000" w:themeColor="text1"/>
        </w:rPr>
        <w:t>モロッコの</w:t>
      </w:r>
      <w:r w:rsidR="00150D1A">
        <w:rPr>
          <w:rFonts w:hint="eastAsia"/>
          <w:color w:val="000000" w:themeColor="text1"/>
        </w:rPr>
        <w:t>経済発展戦略と</w:t>
      </w:r>
      <w:r w:rsidR="00E86799" w:rsidRPr="0069122A">
        <w:rPr>
          <w:rFonts w:hint="eastAsia"/>
          <w:color w:val="000000" w:themeColor="text1"/>
        </w:rPr>
        <w:t>優先的地位</w:t>
      </w:r>
      <w:r w:rsidR="00E86799" w:rsidRPr="0069122A">
        <w:rPr>
          <w:rFonts w:hint="eastAsia"/>
          <w:color w:val="000000" w:themeColor="text1"/>
        </w:rPr>
        <w:t>(Advanced Status)</w:t>
      </w:r>
      <w:r w:rsidRPr="0069122A">
        <w:rPr>
          <w:rFonts w:hint="eastAsia"/>
          <w:color w:val="000000" w:themeColor="text1"/>
        </w:rPr>
        <w:t>の獲得</w:t>
      </w:r>
      <w:bookmarkEnd w:id="4"/>
    </w:p>
    <w:p w:rsidR="008A1C75" w:rsidRDefault="008C71EC" w:rsidP="00D465D5">
      <w:pPr>
        <w:ind w:firstLineChars="100" w:firstLine="210"/>
      </w:pPr>
      <w:r>
        <w:rPr>
          <w:rFonts w:hint="eastAsia"/>
        </w:rPr>
        <w:t>95</w:t>
      </w:r>
      <w:r w:rsidR="009243E3">
        <w:rPr>
          <w:rFonts w:hint="eastAsia"/>
        </w:rPr>
        <w:t>年からの</w:t>
      </w:r>
      <w:r>
        <w:rPr>
          <w:rFonts w:hint="eastAsia"/>
        </w:rPr>
        <w:t>「バルセロナ・プロセス」</w:t>
      </w:r>
      <w:r w:rsidR="00F0204E">
        <w:rPr>
          <w:rFonts w:hint="eastAsia"/>
        </w:rPr>
        <w:t>の展開によ</w:t>
      </w:r>
      <w:r w:rsidR="00365947">
        <w:rPr>
          <w:rFonts w:hint="eastAsia"/>
        </w:rPr>
        <w:t>って、</w:t>
      </w:r>
      <w:r w:rsidR="007359DE">
        <w:rPr>
          <w:rFonts w:hint="eastAsia"/>
        </w:rPr>
        <w:t>地中海諸国</w:t>
      </w:r>
      <w:r w:rsidR="0010303B">
        <w:rPr>
          <w:rFonts w:hint="eastAsia"/>
        </w:rPr>
        <w:t>における</w:t>
      </w:r>
      <w:r w:rsidR="00365947">
        <w:rPr>
          <w:rFonts w:hint="eastAsia"/>
        </w:rPr>
        <w:t>「</w:t>
      </w:r>
      <w:r w:rsidR="00365947">
        <w:rPr>
          <w:rFonts w:hint="eastAsia"/>
        </w:rPr>
        <w:t>FDI</w:t>
      </w:r>
      <w:r w:rsidR="00365947">
        <w:rPr>
          <w:rFonts w:hint="eastAsia"/>
        </w:rPr>
        <w:t>導入指向型」経済発展プロセスが開始されている。</w:t>
      </w:r>
      <w:r w:rsidR="000D3867">
        <w:rPr>
          <w:rFonts w:hint="eastAsia"/>
        </w:rPr>
        <w:t>とりわけ、モロッコではフランス・スペインを中心とする南欧諸国との伝統的な通商関係を拠所に、</w:t>
      </w:r>
      <w:r w:rsidR="000D3867">
        <w:rPr>
          <w:rFonts w:hint="eastAsia"/>
        </w:rPr>
        <w:t>EU</w:t>
      </w:r>
      <w:r w:rsidR="000D3867">
        <w:rPr>
          <w:rFonts w:hint="eastAsia"/>
        </w:rPr>
        <w:t>系企業からの</w:t>
      </w:r>
      <w:r w:rsidR="000D3867">
        <w:rPr>
          <w:rFonts w:hint="eastAsia"/>
        </w:rPr>
        <w:t>FDI</w:t>
      </w:r>
      <w:r w:rsidR="00FD64E3">
        <w:rPr>
          <w:rFonts w:hint="eastAsia"/>
        </w:rPr>
        <w:t>誘致に照準を定めた新たな経済発展戦略が展開されている</w:t>
      </w:r>
      <w:r w:rsidR="0055771E">
        <w:rPr>
          <w:rFonts w:hint="eastAsia"/>
        </w:rPr>
        <w:t>。</w:t>
      </w:r>
      <w:r w:rsidR="00150D1A" w:rsidRPr="00150D1A">
        <w:rPr>
          <w:rFonts w:hint="eastAsia"/>
        </w:rPr>
        <w:t>ここでは、</w:t>
      </w:r>
      <w:r w:rsidR="00150D1A" w:rsidRPr="00150D1A">
        <w:rPr>
          <w:rFonts w:hint="eastAsia"/>
        </w:rPr>
        <w:t>EU</w:t>
      </w:r>
      <w:r w:rsidR="00150D1A" w:rsidRPr="00150D1A">
        <w:rPr>
          <w:rFonts w:hint="eastAsia"/>
        </w:rPr>
        <w:t>側の政策への地中海諸国の対応について、同エリアのフロントランナーとなっているモロッコを中心に検討する</w:t>
      </w:r>
      <w:r w:rsidR="00150D1A">
        <w:rPr>
          <w:rFonts w:hint="eastAsia"/>
        </w:rPr>
        <w:t>。</w:t>
      </w:r>
      <w:r w:rsidR="00C26C94">
        <w:rPr>
          <w:rFonts w:hint="eastAsia"/>
        </w:rPr>
        <w:t>1999</w:t>
      </w:r>
      <w:r w:rsidR="00C26C94">
        <w:rPr>
          <w:rFonts w:hint="eastAsia"/>
        </w:rPr>
        <w:t>年</w:t>
      </w:r>
      <w:r w:rsidR="00150D1A">
        <w:rPr>
          <w:rFonts w:hint="eastAsia"/>
        </w:rPr>
        <w:t>の</w:t>
      </w:r>
      <w:r w:rsidR="00C26C94">
        <w:rPr>
          <w:rFonts w:hint="eastAsia"/>
        </w:rPr>
        <w:t>ムハンマドⅥ世国王</w:t>
      </w:r>
      <w:r w:rsidR="00150D1A">
        <w:rPr>
          <w:rFonts w:hint="eastAsia"/>
        </w:rPr>
        <w:t>の即位後</w:t>
      </w:r>
      <w:r w:rsidR="008A1C75">
        <w:rPr>
          <w:rFonts w:hint="eastAsia"/>
        </w:rPr>
        <w:t>、モロッコでは一連の国家</w:t>
      </w:r>
      <w:r w:rsidR="00EA630F">
        <w:rPr>
          <w:rFonts w:hint="eastAsia"/>
        </w:rPr>
        <w:t>プログラムを通じて</w:t>
      </w:r>
      <w:r w:rsidR="00C26C94">
        <w:rPr>
          <w:rFonts w:hint="eastAsia"/>
        </w:rPr>
        <w:t>投資奨励策やフリーゾーン開発</w:t>
      </w:r>
      <w:r w:rsidR="008A1C75">
        <w:rPr>
          <w:rFonts w:hint="eastAsia"/>
        </w:rPr>
        <w:t>が</w:t>
      </w:r>
      <w:r w:rsidR="00EA630F">
        <w:rPr>
          <w:rFonts w:hint="eastAsia"/>
        </w:rPr>
        <w:t>積極的</w:t>
      </w:r>
      <w:r w:rsidR="008A1C75">
        <w:rPr>
          <w:rFonts w:hint="eastAsia"/>
        </w:rPr>
        <w:t>に推進され</w:t>
      </w:r>
      <w:r w:rsidR="00EA630F">
        <w:rPr>
          <w:rFonts w:hint="eastAsia"/>
        </w:rPr>
        <w:t>、</w:t>
      </w:r>
      <w:r w:rsidR="008A1C75">
        <w:rPr>
          <w:rFonts w:hint="eastAsia"/>
        </w:rPr>
        <w:t>同国の</w:t>
      </w:r>
      <w:r w:rsidR="00EA630F">
        <w:rPr>
          <w:rFonts w:hint="eastAsia"/>
        </w:rPr>
        <w:t>輸出競争力の向上と人材育成</w:t>
      </w:r>
      <w:r w:rsidR="008A1C75">
        <w:rPr>
          <w:rFonts w:hint="eastAsia"/>
        </w:rPr>
        <w:t>が</w:t>
      </w:r>
      <w:r w:rsidR="00EA630F">
        <w:rPr>
          <w:rFonts w:hint="eastAsia"/>
        </w:rPr>
        <w:t>追求</w:t>
      </w:r>
      <w:r w:rsidR="008A1C75">
        <w:rPr>
          <w:rFonts w:hint="eastAsia"/>
        </w:rPr>
        <w:t>されている</w:t>
      </w:r>
      <w:r w:rsidR="00EA630F">
        <w:rPr>
          <w:rFonts w:hint="eastAsia"/>
        </w:rPr>
        <w:t>。</w:t>
      </w:r>
      <w:r w:rsidR="00FD64E3">
        <w:rPr>
          <w:rFonts w:hint="eastAsia"/>
        </w:rPr>
        <w:t>2006</w:t>
      </w:r>
      <w:r w:rsidR="00FD64E3">
        <w:rPr>
          <w:rFonts w:hint="eastAsia"/>
        </w:rPr>
        <w:t>年に策定された</w:t>
      </w:r>
      <w:r w:rsidR="00C26C94">
        <w:rPr>
          <w:rFonts w:hint="eastAsia"/>
        </w:rPr>
        <w:t>Plan Emergence</w:t>
      </w:r>
      <w:r w:rsidR="00C26C94">
        <w:rPr>
          <w:rFonts w:hint="eastAsia"/>
        </w:rPr>
        <w:t>においては、輸出競争力の強化と</w:t>
      </w:r>
      <w:r w:rsidR="004D6B8B">
        <w:rPr>
          <w:rFonts w:hint="eastAsia"/>
        </w:rPr>
        <w:t>雇用吸収力に富み、高い経済成長を見込むことがで</w:t>
      </w:r>
      <w:r w:rsidR="005F3F3E">
        <w:rPr>
          <w:rFonts w:hint="eastAsia"/>
        </w:rPr>
        <w:t>きるリーディングセクターとして、自動車・航空機産業への支援体制の強化が盛り込まれている。</w:t>
      </w:r>
      <w:r w:rsidR="00EA630F">
        <w:rPr>
          <w:rFonts w:hint="eastAsia"/>
        </w:rPr>
        <w:t>モロッコ</w:t>
      </w:r>
      <w:r w:rsidR="008A1C75">
        <w:rPr>
          <w:rFonts w:hint="eastAsia"/>
        </w:rPr>
        <w:t>に</w:t>
      </w:r>
      <w:r w:rsidR="005E3148">
        <w:rPr>
          <w:rFonts w:hint="eastAsia"/>
        </w:rPr>
        <w:t>外国</w:t>
      </w:r>
      <w:r w:rsidR="008A1C75">
        <w:rPr>
          <w:rFonts w:hint="eastAsia"/>
        </w:rPr>
        <w:t>企業が進出する際の行政手続きも簡便になり、</w:t>
      </w:r>
      <w:r w:rsidR="00EA630F">
        <w:rPr>
          <w:rFonts w:hint="eastAsia"/>
        </w:rPr>
        <w:t>物流・労働コスト</w:t>
      </w:r>
      <w:r w:rsidR="008A1C75">
        <w:rPr>
          <w:rFonts w:hint="eastAsia"/>
        </w:rPr>
        <w:t>についても</w:t>
      </w:r>
      <w:r w:rsidR="00EA630F">
        <w:rPr>
          <w:rFonts w:hint="eastAsia"/>
        </w:rPr>
        <w:t>他の近隣諸国に比して優位であることか</w:t>
      </w:r>
      <w:r w:rsidR="008A1C75">
        <w:rPr>
          <w:rFonts w:hint="eastAsia"/>
        </w:rPr>
        <w:t>ら、中東欧諸国から生産を移管する</w:t>
      </w:r>
      <w:r w:rsidR="008A1C75">
        <w:rPr>
          <w:rFonts w:hint="eastAsia"/>
        </w:rPr>
        <w:t>EU</w:t>
      </w:r>
      <w:r w:rsidR="008A1C75">
        <w:rPr>
          <w:rFonts w:hint="eastAsia"/>
        </w:rPr>
        <w:t>系企業は増加傾向にある。</w:t>
      </w:r>
      <w:r w:rsidR="00472D3F">
        <w:rPr>
          <w:rFonts w:hint="eastAsia"/>
        </w:rPr>
        <w:t>EU</w:t>
      </w:r>
      <w:r w:rsidR="00472D3F">
        <w:rPr>
          <w:rFonts w:hint="eastAsia"/>
        </w:rPr>
        <w:t>系企業は、モロッコという新たなフロンティアを開拓し、製造・輸出拠点形成に取り組んでいる</w:t>
      </w:r>
      <w:r w:rsidR="00472D3F">
        <w:rPr>
          <w:rStyle w:val="ac"/>
        </w:rPr>
        <w:footnoteReference w:id="6"/>
      </w:r>
      <w:r w:rsidR="00472D3F">
        <w:rPr>
          <w:rFonts w:hint="eastAsia"/>
        </w:rPr>
        <w:t>。</w:t>
      </w:r>
    </w:p>
    <w:p w:rsidR="005E3148" w:rsidRDefault="008A1C75" w:rsidP="00BC3E60">
      <w:pPr>
        <w:ind w:firstLineChars="100" w:firstLine="210"/>
      </w:pPr>
      <w:r>
        <w:rPr>
          <w:rFonts w:hint="eastAsia"/>
        </w:rPr>
        <w:t>こうしたモロッコ側の国内経済改革</w:t>
      </w:r>
      <w:r w:rsidR="005E3148">
        <w:rPr>
          <w:rFonts w:hint="eastAsia"/>
        </w:rPr>
        <w:t>に加え</w:t>
      </w:r>
      <w:r>
        <w:rPr>
          <w:rFonts w:hint="eastAsia"/>
        </w:rPr>
        <w:t>、</w:t>
      </w:r>
      <w:r>
        <w:rPr>
          <w:rFonts w:hint="eastAsia"/>
        </w:rPr>
        <w:t>EU</w:t>
      </w:r>
      <w:r>
        <w:rPr>
          <w:rFonts w:hint="eastAsia"/>
        </w:rPr>
        <w:t>との制度的な結びつきを一段</w:t>
      </w:r>
      <w:r w:rsidR="005E3148">
        <w:rPr>
          <w:rFonts w:hint="eastAsia"/>
        </w:rPr>
        <w:t>と強化する取組みが本格化している。</w:t>
      </w:r>
      <w:r w:rsidR="005E3148">
        <w:rPr>
          <w:rFonts w:hint="eastAsia"/>
        </w:rPr>
        <w:t>2008</w:t>
      </w:r>
      <w:r w:rsidR="005E3148">
        <w:rPr>
          <w:rFonts w:hint="eastAsia"/>
        </w:rPr>
        <w:t>年</w:t>
      </w:r>
      <w:r w:rsidR="005E3148">
        <w:rPr>
          <w:rFonts w:hint="eastAsia"/>
        </w:rPr>
        <w:t>10</w:t>
      </w:r>
      <w:r w:rsidR="005E3148">
        <w:rPr>
          <w:rFonts w:hint="eastAsia"/>
        </w:rPr>
        <w:t>月、モロッコは</w:t>
      </w:r>
      <w:r w:rsidR="005E3148">
        <w:rPr>
          <w:rFonts w:hint="eastAsia"/>
        </w:rPr>
        <w:t>EU</w:t>
      </w:r>
      <w:r w:rsidR="005E3148">
        <w:rPr>
          <w:rFonts w:hint="eastAsia"/>
        </w:rPr>
        <w:t>の近隣諸国で初めて、「優先的地</w:t>
      </w:r>
      <w:r w:rsidR="005E3148">
        <w:rPr>
          <w:rFonts w:hint="eastAsia"/>
        </w:rPr>
        <w:lastRenderedPageBreak/>
        <w:t>位</w:t>
      </w:r>
      <w:r w:rsidR="005E3148">
        <w:rPr>
          <w:rFonts w:hint="eastAsia"/>
        </w:rPr>
        <w:t>(Advanced Status)</w:t>
      </w:r>
      <w:r w:rsidR="005E3148">
        <w:rPr>
          <w:rFonts w:hint="eastAsia"/>
        </w:rPr>
        <w:t>」を獲得した</w:t>
      </w:r>
      <w:r w:rsidR="005E3148">
        <w:rPr>
          <w:rStyle w:val="ac"/>
        </w:rPr>
        <w:footnoteReference w:id="7"/>
      </w:r>
      <w:r w:rsidR="005E3148">
        <w:rPr>
          <w:rFonts w:hint="eastAsia"/>
        </w:rPr>
        <w:t>。欧州近隣諸国政策</w:t>
      </w:r>
      <w:r w:rsidR="005E3148">
        <w:rPr>
          <w:rFonts w:hint="eastAsia"/>
        </w:rPr>
        <w:t>(ENP)</w:t>
      </w:r>
      <w:r w:rsidR="005E3148">
        <w:rPr>
          <w:rFonts w:hint="eastAsia"/>
        </w:rPr>
        <w:t>における行動計画の成果をもとに付与される</w:t>
      </w:r>
      <w:r w:rsidR="00935EBF">
        <w:rPr>
          <w:rFonts w:hint="eastAsia"/>
        </w:rPr>
        <w:t>「</w:t>
      </w:r>
      <w:r w:rsidR="005E3148">
        <w:rPr>
          <w:rFonts w:hint="eastAsia"/>
        </w:rPr>
        <w:t>優先的地位</w:t>
      </w:r>
      <w:r w:rsidR="00935EBF">
        <w:rPr>
          <w:rFonts w:hint="eastAsia"/>
        </w:rPr>
        <w:t>」</w:t>
      </w:r>
      <w:r w:rsidR="005E3148">
        <w:rPr>
          <w:rFonts w:hint="eastAsia"/>
        </w:rPr>
        <w:t>は、</w:t>
      </w:r>
      <w:r w:rsidR="00935EBF">
        <w:rPr>
          <w:rFonts w:hint="eastAsia"/>
        </w:rPr>
        <w:t>FTA</w:t>
      </w:r>
      <w:r w:rsidR="00935EBF">
        <w:rPr>
          <w:rFonts w:hint="eastAsia"/>
        </w:rPr>
        <w:t>締結から一段踏み込み、</w:t>
      </w:r>
      <w:r w:rsidR="00935EBF">
        <w:rPr>
          <w:rFonts w:hint="eastAsia"/>
        </w:rPr>
        <w:t>EU</w:t>
      </w:r>
      <w:r w:rsidR="00935EBF">
        <w:rPr>
          <w:rFonts w:hint="eastAsia"/>
        </w:rPr>
        <w:t>域内市場との一層の統合を目指して財・サービス・資本の完全な自由移動と専門職の自由移動を目標に掲げている。</w:t>
      </w:r>
      <w:r w:rsidR="00FD64E3">
        <w:rPr>
          <w:rFonts w:hint="eastAsia"/>
        </w:rPr>
        <w:t>さらに、</w:t>
      </w:r>
      <w:r w:rsidR="00935EBF">
        <w:rPr>
          <w:rFonts w:hint="eastAsia"/>
        </w:rPr>
        <w:t>「優先的地位」合意の最大の特徴は、モロッコによる</w:t>
      </w:r>
      <w:r w:rsidR="00935EBF">
        <w:rPr>
          <w:rFonts w:hint="eastAsia"/>
        </w:rPr>
        <w:t>EU</w:t>
      </w:r>
      <w:r w:rsidR="00935EBF">
        <w:rPr>
          <w:rFonts w:hint="eastAsia"/>
        </w:rPr>
        <w:t>法の総体</w:t>
      </w:r>
      <w:r w:rsidR="00935EBF">
        <w:rPr>
          <w:rFonts w:hint="eastAsia"/>
        </w:rPr>
        <w:t>(</w:t>
      </w:r>
      <w:r w:rsidR="00935EBF">
        <w:rPr>
          <w:rFonts w:hint="eastAsia"/>
        </w:rPr>
        <w:t>アキ・コミュノテール</w:t>
      </w:r>
      <w:r w:rsidR="00935EBF">
        <w:rPr>
          <w:rFonts w:hint="eastAsia"/>
        </w:rPr>
        <w:t>)</w:t>
      </w:r>
      <w:r w:rsidR="00935EBF">
        <w:rPr>
          <w:rFonts w:hint="eastAsia"/>
        </w:rPr>
        <w:t>の受容が明らかにされ、同国の国内法をアキへと漸進的に接近させていくことで双方が合意をみた点である。</w:t>
      </w:r>
      <w:r w:rsidR="00D465D5">
        <w:rPr>
          <w:rFonts w:hint="eastAsia"/>
        </w:rPr>
        <w:t>また、</w:t>
      </w:r>
      <w:r w:rsidR="00FD64E3" w:rsidRPr="00D465D5">
        <w:rPr>
          <w:rFonts w:hint="eastAsia"/>
        </w:rPr>
        <w:t>経済面での協力に加え、</w:t>
      </w:r>
      <w:r w:rsidR="00D465D5" w:rsidRPr="00D465D5">
        <w:rPr>
          <w:rFonts w:hint="eastAsia"/>
        </w:rPr>
        <w:t>政治対話の強化により、</w:t>
      </w:r>
      <w:r w:rsidR="00FD64E3" w:rsidRPr="00D465D5">
        <w:rPr>
          <w:rFonts w:hint="eastAsia"/>
        </w:rPr>
        <w:t>安全保障・</w:t>
      </w:r>
      <w:r w:rsidR="00BC3E60" w:rsidRPr="00D465D5">
        <w:rPr>
          <w:rFonts w:hint="eastAsia"/>
        </w:rPr>
        <w:t>人権面での制度の調和をはかる狙いがある。</w:t>
      </w:r>
      <w:r w:rsidR="00935EBF">
        <w:rPr>
          <w:rFonts w:hint="eastAsia"/>
        </w:rPr>
        <w:t>欧州委員会は、</w:t>
      </w:r>
      <w:r w:rsidR="00BC3E60">
        <w:rPr>
          <w:rFonts w:hint="eastAsia"/>
        </w:rPr>
        <w:t>2010</w:t>
      </w:r>
      <w:r w:rsidR="00BC3E60">
        <w:rPr>
          <w:rFonts w:hint="eastAsia"/>
        </w:rPr>
        <w:t>年</w:t>
      </w:r>
      <w:r w:rsidR="00BC3E60">
        <w:rPr>
          <w:rFonts w:hint="eastAsia"/>
        </w:rPr>
        <w:t>12</w:t>
      </w:r>
      <w:r w:rsidR="00BC3E60">
        <w:rPr>
          <w:rFonts w:hint="eastAsia"/>
        </w:rPr>
        <w:t>月以降の</w:t>
      </w:r>
      <w:r w:rsidR="00935EBF">
        <w:rPr>
          <w:rFonts w:hint="eastAsia"/>
        </w:rPr>
        <w:t>チュニジア・エジプトの政変に代表される</w:t>
      </w:r>
      <w:r w:rsidR="00BC3E60">
        <w:rPr>
          <w:rFonts w:hint="eastAsia"/>
        </w:rPr>
        <w:t>、</w:t>
      </w:r>
      <w:r w:rsidR="00935EBF">
        <w:rPr>
          <w:rFonts w:hint="eastAsia"/>
        </w:rPr>
        <w:t>昨今の南地中海地域の政治情勢を鑑み、</w:t>
      </w:r>
      <w:r w:rsidR="00935EBF">
        <w:rPr>
          <w:rFonts w:hint="eastAsia"/>
        </w:rPr>
        <w:t>EU</w:t>
      </w:r>
      <w:r w:rsidR="00935EBF">
        <w:rPr>
          <w:rFonts w:hint="eastAsia"/>
        </w:rPr>
        <w:t>の</w:t>
      </w:r>
      <w:r w:rsidR="00FD64E3">
        <w:rPr>
          <w:rFonts w:hint="eastAsia"/>
        </w:rPr>
        <w:t>パートナー諸国に対し、</w:t>
      </w:r>
      <w:r w:rsidR="00FD64E3">
        <w:rPr>
          <w:rFonts w:hint="eastAsia"/>
        </w:rPr>
        <w:t>ENP</w:t>
      </w:r>
      <w:r w:rsidR="00FD64E3">
        <w:rPr>
          <w:rFonts w:hint="eastAsia"/>
        </w:rPr>
        <w:t>の行動計画を通じた国内経済改革</w:t>
      </w:r>
      <w:r w:rsidR="00BC3E60">
        <w:rPr>
          <w:rFonts w:hint="eastAsia"/>
        </w:rPr>
        <w:t>の促進と「優先的地位」の</w:t>
      </w:r>
      <w:r w:rsidR="00FD64E3">
        <w:rPr>
          <w:rFonts w:hint="eastAsia"/>
        </w:rPr>
        <w:t>獲得</w:t>
      </w:r>
      <w:r w:rsidR="00BC3E60">
        <w:rPr>
          <w:rFonts w:hint="eastAsia"/>
        </w:rPr>
        <w:t>を</w:t>
      </w:r>
      <w:r w:rsidR="00FD64E3">
        <w:rPr>
          <w:rFonts w:hint="eastAsia"/>
        </w:rPr>
        <w:t>推奨している</w:t>
      </w:r>
      <w:r w:rsidR="00BC3E60">
        <w:rPr>
          <w:rStyle w:val="ac"/>
        </w:rPr>
        <w:footnoteReference w:id="8"/>
      </w:r>
      <w:r w:rsidR="00FD64E3">
        <w:rPr>
          <w:rFonts w:hint="eastAsia"/>
        </w:rPr>
        <w:t>。今後は、「優先的地位」に関連する法改正</w:t>
      </w:r>
      <w:r w:rsidR="00BC3E60">
        <w:rPr>
          <w:rFonts w:hint="eastAsia"/>
        </w:rPr>
        <w:t>の進捗状況を必要があるが、</w:t>
      </w:r>
      <w:r w:rsidR="00BC3E60">
        <w:rPr>
          <w:rFonts w:hint="eastAsia"/>
        </w:rPr>
        <w:t>EU</w:t>
      </w:r>
      <w:r w:rsidR="00E072BA">
        <w:rPr>
          <w:rFonts w:hint="eastAsia"/>
        </w:rPr>
        <w:t>加盟を前提としない地中海エリアにおいて、こうした流れのフロントランナーとなっている</w:t>
      </w:r>
      <w:r w:rsidR="00BC3E60">
        <w:rPr>
          <w:rFonts w:hint="eastAsia"/>
        </w:rPr>
        <w:t>モロッコのプレゼンスは</w:t>
      </w:r>
      <w:r w:rsidR="00CF1C43">
        <w:rPr>
          <w:rFonts w:hint="eastAsia"/>
        </w:rPr>
        <w:t>急速に高まっている</w:t>
      </w:r>
      <w:r w:rsidR="00BC3E60">
        <w:rPr>
          <w:rFonts w:hint="eastAsia"/>
        </w:rPr>
        <w:t>。</w:t>
      </w:r>
    </w:p>
    <w:p w:rsidR="00FE462E" w:rsidRPr="00DE4B67" w:rsidRDefault="00FE462E" w:rsidP="001E5832"/>
    <w:p w:rsidR="00150D1A" w:rsidRPr="00150D1A" w:rsidRDefault="00150D1A" w:rsidP="00C877AE">
      <w:pPr>
        <w:pStyle w:val="2"/>
        <w:numPr>
          <w:ilvl w:val="0"/>
          <w:numId w:val="3"/>
        </w:numPr>
      </w:pPr>
      <w:bookmarkStart w:id="5" w:name="_Toc302617239"/>
      <w:r>
        <w:rPr>
          <w:rFonts w:hint="eastAsia"/>
        </w:rPr>
        <w:t>2006</w:t>
      </w:r>
      <w:r>
        <w:rPr>
          <w:rFonts w:hint="eastAsia"/>
        </w:rPr>
        <w:t>年の</w:t>
      </w:r>
      <w:r w:rsidR="00C877AE">
        <w:rPr>
          <w:rFonts w:hint="eastAsia"/>
        </w:rPr>
        <w:t>モロッコ</w:t>
      </w:r>
      <w:r>
        <w:rPr>
          <w:rFonts w:hint="eastAsia"/>
        </w:rPr>
        <w:t>銀行法改正</w:t>
      </w:r>
      <w:bookmarkEnd w:id="5"/>
    </w:p>
    <w:p w:rsidR="000D49FB" w:rsidRDefault="000D49FB" w:rsidP="000D49FB">
      <w:pPr>
        <w:ind w:firstLineChars="100" w:firstLine="210"/>
      </w:pPr>
      <w:r>
        <w:rPr>
          <w:rFonts w:hint="eastAsia"/>
        </w:rPr>
        <w:t>金融グローバル化のもと、金融機関の国際的な活動が拡大するにつれて、バー</w:t>
      </w:r>
      <w:r w:rsidR="00E072BA">
        <w:rPr>
          <w:rFonts w:hint="eastAsia"/>
        </w:rPr>
        <w:t>ゼル合意に代表される、国際的に適応可能な規制・ルールの確立が追求</w:t>
      </w:r>
      <w:r>
        <w:rPr>
          <w:rFonts w:hint="eastAsia"/>
        </w:rPr>
        <w:t>されている。</w:t>
      </w:r>
      <w:r w:rsidR="002C10F6">
        <w:rPr>
          <w:rFonts w:hint="eastAsia"/>
        </w:rPr>
        <w:t>国際的に金融インフラの整備が進行するなか、</w:t>
      </w:r>
      <w:r w:rsidR="002C10F6">
        <w:rPr>
          <w:rFonts w:hint="eastAsia"/>
        </w:rPr>
        <w:t>2000</w:t>
      </w:r>
      <w:r w:rsidR="002C10F6">
        <w:rPr>
          <w:rFonts w:hint="eastAsia"/>
        </w:rPr>
        <w:t>年代に入り、南地中海エリアにおいてはモロッコとエジプトが金融セクターの改革を推し進めている。</w:t>
      </w:r>
      <w:r w:rsidR="002C10F6">
        <w:rPr>
          <w:rFonts w:hint="eastAsia"/>
        </w:rPr>
        <w:t>2003</w:t>
      </w:r>
      <w:r w:rsidR="002C10F6">
        <w:rPr>
          <w:rFonts w:hint="eastAsia"/>
        </w:rPr>
        <w:t>年にエジプトは、銀行の自己資本比率をはじめとする</w:t>
      </w:r>
      <w:r w:rsidR="00E072BA">
        <w:rPr>
          <w:rFonts w:hint="eastAsia"/>
        </w:rPr>
        <w:t>健全性関連の</w:t>
      </w:r>
      <w:r w:rsidR="00DE4B67">
        <w:rPr>
          <w:rFonts w:hint="eastAsia"/>
        </w:rPr>
        <w:t>基準を強化するなど</w:t>
      </w:r>
      <w:r w:rsidR="002C10F6">
        <w:rPr>
          <w:rFonts w:hint="eastAsia"/>
        </w:rPr>
        <w:t>、銀行監督に関する金融法制の整備を開始した。モロッコでは、</w:t>
      </w:r>
      <w:r w:rsidR="006A5AC0">
        <w:rPr>
          <w:rFonts w:hint="eastAsia"/>
        </w:rPr>
        <w:t>1983</w:t>
      </w:r>
      <w:r w:rsidR="00F671B8">
        <w:rPr>
          <w:rFonts w:hint="eastAsia"/>
        </w:rPr>
        <w:t>年から</w:t>
      </w:r>
      <w:r w:rsidR="006A5AC0">
        <w:rPr>
          <w:rFonts w:hint="eastAsia"/>
        </w:rPr>
        <w:t>IMF</w:t>
      </w:r>
      <w:r w:rsidR="00F671B8">
        <w:rPr>
          <w:rFonts w:hint="eastAsia"/>
        </w:rPr>
        <w:t>の勧告により</w:t>
      </w:r>
      <w:r w:rsidR="00D437AB">
        <w:rPr>
          <w:rFonts w:hint="eastAsia"/>
        </w:rPr>
        <w:t>市場開放、</w:t>
      </w:r>
      <w:r w:rsidR="006A5AC0">
        <w:rPr>
          <w:rFonts w:hint="eastAsia"/>
        </w:rPr>
        <w:t>銀行業務の自由化</w:t>
      </w:r>
      <w:r w:rsidR="00DE4B67">
        <w:rPr>
          <w:rFonts w:hint="eastAsia"/>
        </w:rPr>
        <w:t>、中央銀行主導の</w:t>
      </w:r>
      <w:r w:rsidR="00980800">
        <w:rPr>
          <w:rFonts w:hint="eastAsia"/>
        </w:rPr>
        <w:t>金融仲介システムの</w:t>
      </w:r>
      <w:r w:rsidR="00D437AB">
        <w:rPr>
          <w:rFonts w:hint="eastAsia"/>
        </w:rPr>
        <w:t>向上を目指した改革が進められた</w:t>
      </w:r>
      <w:r w:rsidR="006A5AC0">
        <w:rPr>
          <w:rFonts w:hint="eastAsia"/>
        </w:rPr>
        <w:t>。</w:t>
      </w:r>
      <w:r w:rsidR="002C10F6">
        <w:rPr>
          <w:rFonts w:hint="eastAsia"/>
        </w:rPr>
        <w:t>1993</w:t>
      </w:r>
      <w:r w:rsidR="002C10F6">
        <w:rPr>
          <w:rFonts w:hint="eastAsia"/>
        </w:rPr>
        <w:t>年</w:t>
      </w:r>
      <w:r w:rsidR="00D437AB">
        <w:rPr>
          <w:rFonts w:hint="eastAsia"/>
        </w:rPr>
        <w:t>以降は</w:t>
      </w:r>
      <w:r w:rsidR="00980800">
        <w:rPr>
          <w:rFonts w:hint="eastAsia"/>
        </w:rPr>
        <w:t>世銀のイニシアチブにより、金融セクターの改革が遂行され、</w:t>
      </w:r>
      <w:r w:rsidR="002C10F6">
        <w:rPr>
          <w:rFonts w:hint="eastAsia"/>
        </w:rPr>
        <w:t>主に、貸出上限規制</w:t>
      </w:r>
      <w:r w:rsidR="002C10F6">
        <w:rPr>
          <w:rFonts w:hint="eastAsia"/>
        </w:rPr>
        <w:t>(credit ceiling)</w:t>
      </w:r>
      <w:r w:rsidR="002C10F6">
        <w:rPr>
          <w:rFonts w:hint="eastAsia"/>
        </w:rPr>
        <w:t>の撤廃、</w:t>
      </w:r>
      <w:r w:rsidR="003960DD">
        <w:rPr>
          <w:rFonts w:hint="eastAsia"/>
        </w:rPr>
        <w:t>金利自由化、貸出</w:t>
      </w:r>
      <w:r w:rsidR="00D437AB">
        <w:rPr>
          <w:rFonts w:hint="eastAsia"/>
        </w:rPr>
        <w:t>機関を管理する法的枠組みの</w:t>
      </w:r>
      <w:r w:rsidR="00980800">
        <w:rPr>
          <w:rFonts w:hint="eastAsia"/>
        </w:rPr>
        <w:t>徹底調査に加えて、国際基準に適合</w:t>
      </w:r>
      <w:r w:rsidR="00987060">
        <w:rPr>
          <w:rFonts w:hint="eastAsia"/>
        </w:rPr>
        <w:t>する</w:t>
      </w:r>
      <w:r w:rsidR="00CF35B5">
        <w:rPr>
          <w:rFonts w:hint="eastAsia"/>
        </w:rPr>
        <w:t>プルーデンス</w:t>
      </w:r>
      <w:r w:rsidR="00987060">
        <w:rPr>
          <w:rFonts w:hint="eastAsia"/>
        </w:rPr>
        <w:t>監督</w:t>
      </w:r>
      <w:r w:rsidR="00CF35B5">
        <w:rPr>
          <w:rFonts w:hint="eastAsia"/>
        </w:rPr>
        <w:t>の</w:t>
      </w:r>
      <w:r w:rsidR="001E1AA6">
        <w:rPr>
          <w:rFonts w:hint="eastAsia"/>
        </w:rPr>
        <w:t>整備</w:t>
      </w:r>
      <w:r w:rsidR="003960DD">
        <w:rPr>
          <w:rFonts w:hint="eastAsia"/>
        </w:rPr>
        <w:t>など</w:t>
      </w:r>
      <w:r w:rsidR="00CF35B5">
        <w:rPr>
          <w:rFonts w:hint="eastAsia"/>
        </w:rPr>
        <w:t>が行われた</w:t>
      </w:r>
      <w:r w:rsidR="003960DD">
        <w:rPr>
          <w:rFonts w:hint="eastAsia"/>
        </w:rPr>
        <w:t>。</w:t>
      </w:r>
    </w:p>
    <w:p w:rsidR="000B1382" w:rsidRDefault="001E1AA6" w:rsidP="00BB61BD">
      <w:pPr>
        <w:ind w:firstLineChars="100" w:firstLine="210"/>
      </w:pPr>
      <w:r>
        <w:rPr>
          <w:rFonts w:hint="eastAsia"/>
        </w:rPr>
        <w:t>同国の銀行業務および監督条件については、</w:t>
      </w:r>
      <w:r w:rsidR="00980800">
        <w:rPr>
          <w:rFonts w:hint="eastAsia"/>
        </w:rPr>
        <w:t>モロッコ</w:t>
      </w:r>
      <w:r>
        <w:rPr>
          <w:rFonts w:hint="eastAsia"/>
        </w:rPr>
        <w:t>銀行法第</w:t>
      </w:r>
      <w:r>
        <w:rPr>
          <w:rFonts w:hint="eastAsia"/>
        </w:rPr>
        <w:t>34-3</w:t>
      </w:r>
      <w:r>
        <w:rPr>
          <w:rFonts w:hint="eastAsia"/>
        </w:rPr>
        <w:t>に規定されている</w:t>
      </w:r>
      <w:r>
        <w:rPr>
          <w:rStyle w:val="ac"/>
        </w:rPr>
        <w:footnoteReference w:id="9"/>
      </w:r>
      <w:r>
        <w:rPr>
          <w:rFonts w:hint="eastAsia"/>
        </w:rPr>
        <w:t>。</w:t>
      </w:r>
      <w:r w:rsidR="00E947BF">
        <w:rPr>
          <w:rFonts w:hint="eastAsia"/>
        </w:rPr>
        <w:t>銀行法は、商業銀行と</w:t>
      </w:r>
      <w:r w:rsidR="00F82EA7">
        <w:rPr>
          <w:rFonts w:hint="eastAsia"/>
        </w:rPr>
        <w:t>ノンバンク部門の</w:t>
      </w:r>
      <w:r w:rsidR="00E947BF">
        <w:rPr>
          <w:rFonts w:hint="eastAsia"/>
        </w:rPr>
        <w:t>ファイナンス・カンパニー</w:t>
      </w:r>
      <w:r w:rsidR="00F82EA7">
        <w:rPr>
          <w:rFonts w:hint="eastAsia"/>
        </w:rPr>
        <w:t>(Financial Company)</w:t>
      </w:r>
      <w:r w:rsidR="00E947BF">
        <w:rPr>
          <w:rFonts w:hint="eastAsia"/>
        </w:rPr>
        <w:t>をカバーしている。ファイナンス・カンパニーには、消費者ローン・リース業・不動産ローンおよび企業ローン</w:t>
      </w:r>
      <w:r w:rsidR="0001678F">
        <w:rPr>
          <w:rFonts w:hint="eastAsia"/>
        </w:rPr>
        <w:t>会社が含まれ、同様</w:t>
      </w:r>
      <w:r w:rsidR="00E947BF">
        <w:rPr>
          <w:rFonts w:hint="eastAsia"/>
        </w:rPr>
        <w:t>に</w:t>
      </w:r>
      <w:r w:rsidR="00DE4B67">
        <w:rPr>
          <w:rFonts w:hint="eastAsia"/>
        </w:rPr>
        <w:t>決済システム管理会社</w:t>
      </w:r>
      <w:r w:rsidR="00E947BF">
        <w:rPr>
          <w:rFonts w:hint="eastAsia"/>
        </w:rPr>
        <w:t>や保証会社に</w:t>
      </w:r>
      <w:r w:rsidR="0001678F">
        <w:rPr>
          <w:rFonts w:hint="eastAsia"/>
        </w:rPr>
        <w:t>も</w:t>
      </w:r>
      <w:r w:rsidR="00E947BF">
        <w:rPr>
          <w:rFonts w:hint="eastAsia"/>
        </w:rPr>
        <w:t>適用される。</w:t>
      </w:r>
      <w:r w:rsidR="0001678F">
        <w:rPr>
          <w:rFonts w:hint="eastAsia"/>
        </w:rPr>
        <w:t>2006</w:t>
      </w:r>
      <w:r w:rsidR="00C877AE">
        <w:rPr>
          <w:rFonts w:hint="eastAsia"/>
        </w:rPr>
        <w:t>年に</w:t>
      </w:r>
      <w:r w:rsidR="006A5AC0">
        <w:rPr>
          <w:rFonts w:hint="eastAsia"/>
        </w:rPr>
        <w:t>は、</w:t>
      </w:r>
      <w:r w:rsidR="00DE4B67">
        <w:rPr>
          <w:rFonts w:hint="eastAsia"/>
        </w:rPr>
        <w:t>同法の</w:t>
      </w:r>
      <w:r w:rsidR="006A5AC0">
        <w:rPr>
          <w:rFonts w:hint="eastAsia"/>
        </w:rPr>
        <w:t>適法範囲がその他の</w:t>
      </w:r>
      <w:r w:rsidR="00C877AE">
        <w:rPr>
          <w:rFonts w:hint="eastAsia"/>
        </w:rPr>
        <w:t>事業体にも拡大され</w:t>
      </w:r>
      <w:r w:rsidR="0001678F">
        <w:rPr>
          <w:rFonts w:hint="eastAsia"/>
        </w:rPr>
        <w:t>た。政府系金融機関である</w:t>
      </w:r>
      <w:proofErr w:type="spellStart"/>
      <w:r w:rsidR="0001678F">
        <w:rPr>
          <w:rFonts w:hint="eastAsia"/>
        </w:rPr>
        <w:t>Caisse</w:t>
      </w:r>
      <w:proofErr w:type="spellEnd"/>
      <w:r w:rsidR="0001678F">
        <w:rPr>
          <w:rFonts w:hint="eastAsia"/>
        </w:rPr>
        <w:t xml:space="preserve"> de </w:t>
      </w:r>
      <w:proofErr w:type="spellStart"/>
      <w:r w:rsidR="0001678F">
        <w:rPr>
          <w:rFonts w:hint="eastAsia"/>
        </w:rPr>
        <w:t>Dépôt</w:t>
      </w:r>
      <w:proofErr w:type="spellEnd"/>
      <w:r w:rsidR="0001678F">
        <w:rPr>
          <w:rFonts w:hint="eastAsia"/>
        </w:rPr>
        <w:t xml:space="preserve"> et de </w:t>
      </w:r>
      <w:proofErr w:type="spellStart"/>
      <w:r w:rsidR="0001678F">
        <w:rPr>
          <w:rFonts w:hint="eastAsia"/>
        </w:rPr>
        <w:t>Gestion</w:t>
      </w:r>
      <w:proofErr w:type="spellEnd"/>
      <w:r w:rsidR="007E3583">
        <w:rPr>
          <w:rFonts w:hint="eastAsia"/>
        </w:rPr>
        <w:t>(CDG)</w:t>
      </w:r>
      <w:r w:rsidR="0001678F">
        <w:rPr>
          <w:rFonts w:hint="eastAsia"/>
        </w:rPr>
        <w:t>や</w:t>
      </w:r>
      <w:proofErr w:type="spellStart"/>
      <w:r w:rsidR="00E95BDC">
        <w:rPr>
          <w:rFonts w:hint="eastAsia"/>
        </w:rPr>
        <w:t>Caisse</w:t>
      </w:r>
      <w:proofErr w:type="spellEnd"/>
      <w:r w:rsidR="00E95BDC">
        <w:rPr>
          <w:rFonts w:hint="eastAsia"/>
        </w:rPr>
        <w:t xml:space="preserve"> </w:t>
      </w:r>
      <w:proofErr w:type="spellStart"/>
      <w:r w:rsidR="00E95BDC">
        <w:rPr>
          <w:rFonts w:hint="eastAsia"/>
        </w:rPr>
        <w:t>Cebtrale</w:t>
      </w:r>
      <w:proofErr w:type="spellEnd"/>
      <w:r w:rsidR="00E95BDC">
        <w:rPr>
          <w:rFonts w:hint="eastAsia"/>
        </w:rPr>
        <w:t xml:space="preserve"> de </w:t>
      </w:r>
      <w:proofErr w:type="spellStart"/>
      <w:r w:rsidR="00E95BDC">
        <w:rPr>
          <w:rFonts w:hint="eastAsia"/>
        </w:rPr>
        <w:t>Grantie</w:t>
      </w:r>
      <w:proofErr w:type="spellEnd"/>
      <w:r w:rsidR="00E95BDC">
        <w:rPr>
          <w:rFonts w:hint="eastAsia"/>
        </w:rPr>
        <w:t xml:space="preserve"> </w:t>
      </w:r>
      <w:r w:rsidR="007E3583">
        <w:rPr>
          <w:rFonts w:hint="eastAsia"/>
        </w:rPr>
        <w:t>(CGF)</w:t>
      </w:r>
      <w:r w:rsidR="00E95BDC">
        <w:rPr>
          <w:rFonts w:hint="eastAsia"/>
        </w:rPr>
        <w:t>、モロッコ郵政公社の子会社として展開する</w:t>
      </w:r>
      <w:proofErr w:type="spellStart"/>
      <w:r w:rsidR="00E95BDC">
        <w:rPr>
          <w:rFonts w:hint="eastAsia"/>
        </w:rPr>
        <w:t>Barid</w:t>
      </w:r>
      <w:proofErr w:type="spellEnd"/>
      <w:r w:rsidR="00E95BDC">
        <w:rPr>
          <w:rFonts w:hint="eastAsia"/>
        </w:rPr>
        <w:t xml:space="preserve"> Al-</w:t>
      </w:r>
      <w:proofErr w:type="spellStart"/>
      <w:r w:rsidR="00E95BDC">
        <w:rPr>
          <w:rFonts w:hint="eastAsia"/>
        </w:rPr>
        <w:t>Maghrib</w:t>
      </w:r>
      <w:proofErr w:type="spellEnd"/>
      <w:r w:rsidR="00E95BDC">
        <w:rPr>
          <w:rFonts w:hint="eastAsia"/>
        </w:rPr>
        <w:t>銀行、オフショア銀行やマイクロクレジットも含まれる</w:t>
      </w:r>
      <w:r w:rsidR="00DE4B67">
        <w:rPr>
          <w:rFonts w:hint="eastAsia"/>
        </w:rPr>
        <w:t>ようになった</w:t>
      </w:r>
      <w:r w:rsidR="00E95BDC">
        <w:rPr>
          <w:rFonts w:hint="eastAsia"/>
        </w:rPr>
        <w:t>。</w:t>
      </w:r>
      <w:r w:rsidR="000E3994">
        <w:rPr>
          <w:rFonts w:hint="eastAsia"/>
        </w:rPr>
        <w:t>銀行法規は、バーゼル委員会の基準</w:t>
      </w:r>
      <w:r w:rsidR="00BB61BD">
        <w:rPr>
          <w:rFonts w:hint="eastAsia"/>
        </w:rPr>
        <w:t>(</w:t>
      </w:r>
      <w:r w:rsidR="00BB61BD">
        <w:rPr>
          <w:rFonts w:hint="eastAsia"/>
        </w:rPr>
        <w:t>バーゼルⅡ</w:t>
      </w:r>
      <w:r w:rsidR="00BB61BD">
        <w:rPr>
          <w:rFonts w:hint="eastAsia"/>
        </w:rPr>
        <w:t>)</w:t>
      </w:r>
      <w:r w:rsidR="000E3994">
        <w:rPr>
          <w:rFonts w:hint="eastAsia"/>
        </w:rPr>
        <w:t>と合致したものであり、主として</w:t>
      </w:r>
      <w:r w:rsidR="002D2F68">
        <w:rPr>
          <w:rFonts w:hint="eastAsia"/>
        </w:rPr>
        <w:t>効果的な銀行監督体制を維持するための</w:t>
      </w:r>
      <w:r w:rsidR="002D2F68">
        <w:rPr>
          <w:rFonts w:hint="eastAsia"/>
        </w:rPr>
        <w:t>25</w:t>
      </w:r>
      <w:r w:rsidR="002D2F68">
        <w:rPr>
          <w:rFonts w:hint="eastAsia"/>
        </w:rPr>
        <w:t>項目の基本指針から構成され、</w:t>
      </w:r>
      <w:r w:rsidR="00DE4B67">
        <w:rPr>
          <w:rFonts w:hint="eastAsia"/>
        </w:rPr>
        <w:t>銀行監督に関する中央銀行の独立性</w:t>
      </w:r>
      <w:r w:rsidR="002D2F68">
        <w:rPr>
          <w:rFonts w:hint="eastAsia"/>
        </w:rPr>
        <w:t>が規定されている</w:t>
      </w:r>
      <w:r w:rsidR="000E3994">
        <w:rPr>
          <w:rFonts w:hint="eastAsia"/>
        </w:rPr>
        <w:t>。</w:t>
      </w:r>
    </w:p>
    <w:p w:rsidR="00C877AE" w:rsidRPr="00DE4B67" w:rsidRDefault="00C877AE" w:rsidP="00C877AE"/>
    <w:p w:rsidR="00C877AE" w:rsidRPr="00C877AE" w:rsidRDefault="00E072BA" w:rsidP="00C877AE">
      <w:pPr>
        <w:pStyle w:val="2"/>
        <w:numPr>
          <w:ilvl w:val="0"/>
          <w:numId w:val="3"/>
        </w:numPr>
      </w:pPr>
      <w:bookmarkStart w:id="6" w:name="_Toc302617240"/>
      <w:r>
        <w:rPr>
          <w:rFonts w:hint="eastAsia"/>
        </w:rPr>
        <w:t>EU</w:t>
      </w:r>
      <w:r>
        <w:rPr>
          <w:rFonts w:hint="eastAsia"/>
        </w:rPr>
        <w:t>銀行法への接近</w:t>
      </w:r>
      <w:bookmarkEnd w:id="6"/>
    </w:p>
    <w:p w:rsidR="00E86A06" w:rsidRDefault="000B1382" w:rsidP="00E86A06">
      <w:r>
        <w:rPr>
          <w:rFonts w:hint="eastAsia"/>
        </w:rPr>
        <w:t xml:space="preserve">　</w:t>
      </w:r>
      <w:r w:rsidR="00DE4B67">
        <w:rPr>
          <w:rFonts w:hint="eastAsia"/>
        </w:rPr>
        <w:t>中央銀行</w:t>
      </w:r>
      <w:r w:rsidR="007C46DF">
        <w:rPr>
          <w:rFonts w:hint="eastAsia"/>
        </w:rPr>
        <w:t>は、</w:t>
      </w:r>
      <w:r>
        <w:rPr>
          <w:rFonts w:hint="eastAsia"/>
        </w:rPr>
        <w:t>そのコンプライアンスおよびコントロール機能を効果的に遂行できるように、</w:t>
      </w:r>
      <w:r w:rsidR="007C46DF">
        <w:rPr>
          <w:rFonts w:hint="eastAsia"/>
        </w:rPr>
        <w:t>独立機関である</w:t>
      </w:r>
      <w:r w:rsidR="00DE4B67">
        <w:rPr>
          <w:rFonts w:hint="eastAsia"/>
        </w:rPr>
        <w:t>銀行監督委員会</w:t>
      </w:r>
      <w:r>
        <w:rPr>
          <w:rFonts w:hint="eastAsia"/>
        </w:rPr>
        <w:t>(Credit Institutions Commit</w:t>
      </w:r>
      <w:r w:rsidR="007C46DF">
        <w:rPr>
          <w:rFonts w:hint="eastAsia"/>
        </w:rPr>
        <w:t>t</w:t>
      </w:r>
      <w:r>
        <w:rPr>
          <w:rFonts w:hint="eastAsia"/>
        </w:rPr>
        <w:t>ee)</w:t>
      </w:r>
      <w:r>
        <w:rPr>
          <w:rFonts w:hint="eastAsia"/>
        </w:rPr>
        <w:t>を立ち上げ</w:t>
      </w:r>
      <w:r w:rsidR="00DE4B67">
        <w:rPr>
          <w:rFonts w:hint="eastAsia"/>
        </w:rPr>
        <w:t>、経済財務省および銀行協会とも協力</w:t>
      </w:r>
      <w:r w:rsidR="007C46DF">
        <w:rPr>
          <w:rFonts w:hint="eastAsia"/>
        </w:rPr>
        <w:t>しながら銀行監督体制を維持している。</w:t>
      </w:r>
      <w:r>
        <w:rPr>
          <w:rFonts w:hint="eastAsia"/>
        </w:rPr>
        <w:t>モロッコの銀行</w:t>
      </w:r>
      <w:r w:rsidR="007C46DF">
        <w:rPr>
          <w:rFonts w:hint="eastAsia"/>
        </w:rPr>
        <w:t>法には、銀</w:t>
      </w:r>
      <w:r w:rsidR="00DE4B67">
        <w:rPr>
          <w:rFonts w:hint="eastAsia"/>
        </w:rPr>
        <w:t>行の設立に関する法制、銀行のモニタリングに関連</w:t>
      </w:r>
      <w:r w:rsidR="00824304">
        <w:rPr>
          <w:rFonts w:hint="eastAsia"/>
        </w:rPr>
        <w:t>する規定</w:t>
      </w:r>
      <w:r w:rsidR="00E86A06">
        <w:rPr>
          <w:rFonts w:hint="eastAsia"/>
        </w:rPr>
        <w:t>がある。</w:t>
      </w:r>
      <w:r w:rsidR="00E86A06">
        <w:rPr>
          <w:rFonts w:hint="eastAsia"/>
        </w:rPr>
        <w:t>2008</w:t>
      </w:r>
      <w:r w:rsidR="00E86A06">
        <w:rPr>
          <w:rFonts w:hint="eastAsia"/>
        </w:rPr>
        <w:t>年は世界経済金融危機を受け、</w:t>
      </w:r>
      <w:r w:rsidR="007C46DF">
        <w:rPr>
          <w:rFonts w:hint="eastAsia"/>
        </w:rPr>
        <w:t>マクロ</w:t>
      </w:r>
      <w:r w:rsidR="00E86A06">
        <w:rPr>
          <w:rFonts w:hint="eastAsia"/>
        </w:rPr>
        <w:t>・ミクロ双方でのプルーデンシャル政策および</w:t>
      </w:r>
      <w:r w:rsidR="00DE4B67">
        <w:rPr>
          <w:rFonts w:hint="eastAsia"/>
        </w:rPr>
        <w:t>リスク管理</w:t>
      </w:r>
      <w:r w:rsidR="00E86A06">
        <w:rPr>
          <w:rFonts w:hint="eastAsia"/>
        </w:rPr>
        <w:t>に関連する法規が強化された。</w:t>
      </w:r>
      <w:r w:rsidR="00DE4B67">
        <w:rPr>
          <w:rFonts w:hint="eastAsia"/>
        </w:rPr>
        <w:t>健全性監督</w:t>
      </w:r>
      <w:r w:rsidR="00F97412">
        <w:rPr>
          <w:rFonts w:hint="eastAsia"/>
        </w:rPr>
        <w:t>は、</w:t>
      </w:r>
      <w:r w:rsidR="00F97412">
        <w:rPr>
          <w:rFonts w:hint="eastAsia"/>
        </w:rPr>
        <w:t>2006</w:t>
      </w:r>
      <w:r w:rsidR="00F97412">
        <w:rPr>
          <w:rFonts w:hint="eastAsia"/>
        </w:rPr>
        <w:t>年に制定された法規をアップグレードしたものである。</w:t>
      </w:r>
    </w:p>
    <w:p w:rsidR="003F4AA9" w:rsidRPr="001445EE" w:rsidRDefault="003F4AA9" w:rsidP="000D49FB"/>
    <w:p w:rsidR="00840706" w:rsidRDefault="002274A4" w:rsidP="00840706">
      <w:pPr>
        <w:pStyle w:val="3"/>
        <w:numPr>
          <w:ilvl w:val="0"/>
          <w:numId w:val="15"/>
        </w:numPr>
        <w:ind w:leftChars="0"/>
      </w:pPr>
      <w:bookmarkStart w:id="7" w:name="_Toc302617241"/>
      <w:r>
        <w:rPr>
          <w:rFonts w:hint="eastAsia"/>
        </w:rPr>
        <w:t>銀行</w:t>
      </w:r>
      <w:r w:rsidR="00407F04">
        <w:rPr>
          <w:rFonts w:hint="eastAsia"/>
        </w:rPr>
        <w:t>法</w:t>
      </w:r>
      <w:bookmarkEnd w:id="7"/>
    </w:p>
    <w:p w:rsidR="00840706" w:rsidRDefault="006368E4" w:rsidP="00787726">
      <w:r>
        <w:rPr>
          <w:rFonts w:hint="eastAsia"/>
        </w:rPr>
        <w:t xml:space="preserve">　第</w:t>
      </w:r>
      <w:r>
        <w:rPr>
          <w:rFonts w:hint="eastAsia"/>
        </w:rPr>
        <w:t>1</w:t>
      </w:r>
      <w:r w:rsidR="00407F04">
        <w:rPr>
          <w:rFonts w:hint="eastAsia"/>
        </w:rPr>
        <w:t>に、銀行の</w:t>
      </w:r>
      <w:r w:rsidR="00787726">
        <w:rPr>
          <w:rFonts w:hint="eastAsia"/>
        </w:rPr>
        <w:t>設立</w:t>
      </w:r>
      <w:r w:rsidR="002A68E3">
        <w:rPr>
          <w:rFonts w:hint="eastAsia"/>
        </w:rPr>
        <w:t>のための諸条件</w:t>
      </w:r>
      <w:r w:rsidR="002A68E3">
        <w:rPr>
          <w:rFonts w:hint="eastAsia"/>
        </w:rPr>
        <w:t>(</w:t>
      </w:r>
      <w:r w:rsidR="002A68E3">
        <w:rPr>
          <w:rFonts w:hint="eastAsia"/>
        </w:rPr>
        <w:t>含む最低資本金</w:t>
      </w:r>
      <w:r w:rsidR="002A68E3">
        <w:rPr>
          <w:rFonts w:hint="eastAsia"/>
        </w:rPr>
        <w:t>)</w:t>
      </w:r>
      <w:r w:rsidR="00787726">
        <w:rPr>
          <w:rFonts w:hint="eastAsia"/>
        </w:rPr>
        <w:t>が</w:t>
      </w:r>
      <w:r w:rsidR="002A68E3">
        <w:rPr>
          <w:rFonts w:hint="eastAsia"/>
        </w:rPr>
        <w:t>定められた</w:t>
      </w:r>
      <w:r w:rsidR="00787726">
        <w:rPr>
          <w:rFonts w:hint="eastAsia"/>
        </w:rPr>
        <w:t>。モロッコにおける</w:t>
      </w:r>
      <w:r w:rsidR="00840706">
        <w:rPr>
          <w:rFonts w:hint="eastAsia"/>
        </w:rPr>
        <w:t>銀行のライセンスの取得については、主として銀行法第</w:t>
      </w:r>
      <w:r w:rsidR="00840706">
        <w:rPr>
          <w:rFonts w:hint="eastAsia"/>
        </w:rPr>
        <w:t>27</w:t>
      </w:r>
      <w:r w:rsidR="00840706">
        <w:rPr>
          <w:rFonts w:hint="eastAsia"/>
        </w:rPr>
        <w:t>条で規定されている</w:t>
      </w:r>
      <w:r w:rsidR="00840706">
        <w:rPr>
          <w:rStyle w:val="ac"/>
        </w:rPr>
        <w:footnoteReference w:id="10"/>
      </w:r>
      <w:r w:rsidR="00840706">
        <w:rPr>
          <w:rFonts w:hint="eastAsia"/>
        </w:rPr>
        <w:t>。新たに銀行を開設する場合は、同法規を遵</w:t>
      </w:r>
      <w:r w:rsidR="006A3829">
        <w:rPr>
          <w:rFonts w:hint="eastAsia"/>
        </w:rPr>
        <w:t>守することが義務づけられる。</w:t>
      </w:r>
    </w:p>
    <w:p w:rsidR="00371EF1" w:rsidRDefault="006A3829" w:rsidP="002274A4">
      <w:r>
        <w:rPr>
          <w:rFonts w:hint="eastAsia"/>
        </w:rPr>
        <w:t xml:space="preserve">　第</w:t>
      </w:r>
      <w:r>
        <w:rPr>
          <w:rFonts w:hint="eastAsia"/>
        </w:rPr>
        <w:t>2</w:t>
      </w:r>
      <w:r>
        <w:rPr>
          <w:rFonts w:hint="eastAsia"/>
        </w:rPr>
        <w:t>に、</w:t>
      </w:r>
      <w:r w:rsidR="002A68E3">
        <w:rPr>
          <w:rFonts w:hint="eastAsia"/>
        </w:rPr>
        <w:t>銀行の大口融資規制や実効的出資に関する法令が定められた。</w:t>
      </w:r>
      <w:r>
        <w:rPr>
          <w:rFonts w:hint="eastAsia"/>
        </w:rPr>
        <w:t>モロッコ国内法では、</w:t>
      </w:r>
      <w:r w:rsidR="00C326CF">
        <w:rPr>
          <w:rFonts w:hint="eastAsia"/>
        </w:rPr>
        <w:t>当該基準に関連する</w:t>
      </w:r>
      <w:r w:rsidR="00371EF1">
        <w:rPr>
          <w:rFonts w:hint="eastAsia"/>
        </w:rPr>
        <w:t>条件の履行は、中央銀行</w:t>
      </w:r>
      <w:r w:rsidR="00371EF1">
        <w:rPr>
          <w:rFonts w:hint="eastAsia"/>
        </w:rPr>
        <w:t>Circular No.20/G/2006</w:t>
      </w:r>
      <w:r w:rsidR="00371EF1">
        <w:rPr>
          <w:rFonts w:hint="eastAsia"/>
        </w:rPr>
        <w:t>に規定される。</w:t>
      </w:r>
    </w:p>
    <w:p w:rsidR="00DA1984" w:rsidRDefault="00C326CF" w:rsidP="002A68E3">
      <w:pPr>
        <w:ind w:firstLineChars="100" w:firstLine="210"/>
      </w:pPr>
      <w:r>
        <w:rPr>
          <w:rFonts w:hint="eastAsia"/>
        </w:rPr>
        <w:t>第</w:t>
      </w:r>
      <w:r>
        <w:rPr>
          <w:rFonts w:hint="eastAsia"/>
        </w:rPr>
        <w:t>3</w:t>
      </w:r>
      <w:r>
        <w:rPr>
          <w:rFonts w:hint="eastAsia"/>
        </w:rPr>
        <w:t>に、</w:t>
      </w:r>
      <w:r w:rsidR="002A68E3">
        <w:rPr>
          <w:rFonts w:hint="eastAsia"/>
        </w:rPr>
        <w:t>バーゼルⅡ基準に準拠し、信用リスク・市場リスク。オペレーショナルリスクの全てをカバーするのに十分な資本を確保することが義務付けられた。</w:t>
      </w:r>
    </w:p>
    <w:p w:rsidR="002274A4" w:rsidRDefault="00F60856" w:rsidP="003407AE">
      <w:r>
        <w:rPr>
          <w:rFonts w:hint="eastAsia"/>
        </w:rPr>
        <w:t xml:space="preserve">　</w:t>
      </w:r>
      <w:r w:rsidR="002A68E3">
        <w:rPr>
          <w:rFonts w:hint="eastAsia"/>
        </w:rPr>
        <w:t>以上のモロッコの新しい銀行法制は、</w:t>
      </w:r>
      <w:r w:rsidR="002A68E3">
        <w:rPr>
          <w:rFonts w:hint="eastAsia"/>
        </w:rPr>
        <w:t>EU</w:t>
      </w:r>
      <w:r w:rsidR="002A68E3">
        <w:rPr>
          <w:rFonts w:hint="eastAsia"/>
        </w:rPr>
        <w:t>銀行指令および自己資本要件指令に平仄を合わせたものとなっている点に</w:t>
      </w:r>
      <w:r>
        <w:rPr>
          <w:rFonts w:hint="eastAsia"/>
        </w:rPr>
        <w:t>注目する必要がある</w:t>
      </w:r>
      <w:r w:rsidR="002A68E3">
        <w:rPr>
          <w:rStyle w:val="ac"/>
        </w:rPr>
        <w:footnoteReference w:id="11"/>
      </w:r>
      <w:r>
        <w:rPr>
          <w:rFonts w:hint="eastAsia"/>
        </w:rPr>
        <w:t>。</w:t>
      </w:r>
    </w:p>
    <w:p w:rsidR="00F550C4" w:rsidRPr="00693430" w:rsidRDefault="00F550C4" w:rsidP="002274A4"/>
    <w:p w:rsidR="002274A4" w:rsidRPr="002274A4" w:rsidRDefault="00226B90" w:rsidP="002274A4">
      <w:pPr>
        <w:pStyle w:val="3"/>
        <w:numPr>
          <w:ilvl w:val="0"/>
          <w:numId w:val="15"/>
        </w:numPr>
        <w:ind w:leftChars="0"/>
      </w:pPr>
      <w:bookmarkStart w:id="8" w:name="_Toc302617242"/>
      <w:r>
        <w:rPr>
          <w:rFonts w:hint="eastAsia"/>
        </w:rPr>
        <w:t>預金保険</w:t>
      </w:r>
      <w:r w:rsidR="00C30806">
        <w:rPr>
          <w:rFonts w:hint="eastAsia"/>
        </w:rPr>
        <w:t>に関連する法令</w:t>
      </w:r>
      <w:bookmarkEnd w:id="8"/>
    </w:p>
    <w:p w:rsidR="00693430" w:rsidRDefault="00693430" w:rsidP="009D7802">
      <w:pPr>
        <w:ind w:firstLineChars="100" w:firstLine="210"/>
      </w:pPr>
      <w:r>
        <w:rPr>
          <w:rFonts w:hint="eastAsia"/>
        </w:rPr>
        <w:t>1996</w:t>
      </w:r>
      <w:r w:rsidR="00C6050F">
        <w:rPr>
          <w:rFonts w:hint="eastAsia"/>
        </w:rPr>
        <w:t>年に預金保険基金</w:t>
      </w:r>
      <w:r>
        <w:rPr>
          <w:rFonts w:hint="eastAsia"/>
        </w:rPr>
        <w:t>(deposit insurance fund)</w:t>
      </w:r>
      <w:r>
        <w:rPr>
          <w:rFonts w:hint="eastAsia"/>
        </w:rPr>
        <w:t>として</w:t>
      </w:r>
      <w:proofErr w:type="spellStart"/>
      <w:r>
        <w:rPr>
          <w:rFonts w:hint="eastAsia"/>
        </w:rPr>
        <w:t>Fonds</w:t>
      </w:r>
      <w:proofErr w:type="spellEnd"/>
      <w:r>
        <w:rPr>
          <w:rFonts w:hint="eastAsia"/>
        </w:rPr>
        <w:t xml:space="preserve"> </w:t>
      </w:r>
      <w:proofErr w:type="spellStart"/>
      <w:r>
        <w:rPr>
          <w:rFonts w:hint="eastAsia"/>
        </w:rPr>
        <w:t>Collectif</w:t>
      </w:r>
      <w:proofErr w:type="spellEnd"/>
      <w:r>
        <w:rPr>
          <w:rFonts w:hint="eastAsia"/>
        </w:rPr>
        <w:t xml:space="preserve"> de </w:t>
      </w:r>
      <w:proofErr w:type="spellStart"/>
      <w:r>
        <w:rPr>
          <w:rFonts w:hint="eastAsia"/>
        </w:rPr>
        <w:t>Garantie</w:t>
      </w:r>
      <w:proofErr w:type="spellEnd"/>
      <w:r>
        <w:rPr>
          <w:rFonts w:hint="eastAsia"/>
        </w:rPr>
        <w:t xml:space="preserve"> des </w:t>
      </w:r>
      <w:proofErr w:type="spellStart"/>
      <w:r>
        <w:rPr>
          <w:rFonts w:hint="eastAsia"/>
        </w:rPr>
        <w:t>Dépôts</w:t>
      </w:r>
      <w:proofErr w:type="spellEnd"/>
      <w:r>
        <w:rPr>
          <w:rFonts w:hint="eastAsia"/>
        </w:rPr>
        <w:t>が設立された。</w:t>
      </w:r>
      <w:r w:rsidR="00C6050F">
        <w:rPr>
          <w:rFonts w:hint="eastAsia"/>
        </w:rPr>
        <w:t>この基金</w:t>
      </w:r>
      <w:r w:rsidR="00A30C42">
        <w:rPr>
          <w:rFonts w:hint="eastAsia"/>
        </w:rPr>
        <w:t>は、法人ではなく、</w:t>
      </w:r>
      <w:r w:rsidR="00C6050F">
        <w:rPr>
          <w:rFonts w:hint="eastAsia"/>
        </w:rPr>
        <w:t>中央銀行が運営する。</w:t>
      </w:r>
      <w:r w:rsidR="00EB47C0">
        <w:rPr>
          <w:rFonts w:hint="eastAsia"/>
        </w:rPr>
        <w:t>規定によれば、銀行が支払う拠出金</w:t>
      </w:r>
      <w:r w:rsidR="001B20F6">
        <w:rPr>
          <w:rFonts w:hint="eastAsia"/>
        </w:rPr>
        <w:t>は預金の</w:t>
      </w:r>
      <w:r w:rsidR="001B20F6">
        <w:rPr>
          <w:rFonts w:hint="eastAsia"/>
        </w:rPr>
        <w:t>0.25%</w:t>
      </w:r>
      <w:r w:rsidR="001B20F6">
        <w:rPr>
          <w:rFonts w:hint="eastAsia"/>
        </w:rPr>
        <w:t>を超えてはな</w:t>
      </w:r>
      <w:r w:rsidR="00C6050F">
        <w:rPr>
          <w:rFonts w:hint="eastAsia"/>
        </w:rPr>
        <w:t>らない。</w:t>
      </w:r>
      <w:r w:rsidR="001B20F6">
        <w:rPr>
          <w:rFonts w:hint="eastAsia"/>
        </w:rPr>
        <w:t>さらに、拠出率</w:t>
      </w:r>
      <w:r w:rsidR="001B20F6">
        <w:rPr>
          <w:rFonts w:hint="eastAsia"/>
        </w:rPr>
        <w:t>(contribution rate)</w:t>
      </w:r>
      <w:r w:rsidR="001B20F6">
        <w:rPr>
          <w:rFonts w:hint="eastAsia"/>
        </w:rPr>
        <w:t>は</w:t>
      </w:r>
      <w:r w:rsidR="001B20F6">
        <w:rPr>
          <w:rFonts w:hint="eastAsia"/>
        </w:rPr>
        <w:t>2006</w:t>
      </w:r>
      <w:r w:rsidR="001B20F6">
        <w:rPr>
          <w:rFonts w:hint="eastAsia"/>
        </w:rPr>
        <w:t>年時点で</w:t>
      </w:r>
      <w:r w:rsidR="001B20F6">
        <w:rPr>
          <w:rFonts w:hint="eastAsia"/>
        </w:rPr>
        <w:t>0.20%</w:t>
      </w:r>
      <w:r w:rsidR="001B20F6">
        <w:rPr>
          <w:rFonts w:hint="eastAsia"/>
        </w:rPr>
        <w:t>に設定されている。</w:t>
      </w:r>
      <w:r w:rsidR="00A30C42">
        <w:rPr>
          <w:rFonts w:hint="eastAsia"/>
        </w:rPr>
        <w:t>この預金保険システムは主として、金融機関の顧客補償</w:t>
      </w:r>
      <w:r w:rsidR="00A30C42">
        <w:rPr>
          <w:rFonts w:hint="eastAsia"/>
        </w:rPr>
        <w:t>(compensating depositors)</w:t>
      </w:r>
      <w:r w:rsidR="00A30C42">
        <w:rPr>
          <w:rFonts w:hint="eastAsia"/>
        </w:rPr>
        <w:t>を目的としている。最大保証額は、</w:t>
      </w:r>
      <w:r w:rsidR="00A30C42">
        <w:rPr>
          <w:rFonts w:hint="eastAsia"/>
        </w:rPr>
        <w:t>2008</w:t>
      </w:r>
      <w:r w:rsidR="00A30C42">
        <w:rPr>
          <w:rFonts w:hint="eastAsia"/>
        </w:rPr>
        <w:t>年現在、ファンドにおける限度額の範囲内において、顧客一人につき</w:t>
      </w:r>
      <w:r w:rsidR="00A30C42">
        <w:rPr>
          <w:rFonts w:hint="eastAsia"/>
        </w:rPr>
        <w:t>8</w:t>
      </w:r>
      <w:r w:rsidR="00A30C42">
        <w:rPr>
          <w:rFonts w:hint="eastAsia"/>
        </w:rPr>
        <w:t>万</w:t>
      </w:r>
      <w:r w:rsidR="00A30C42">
        <w:rPr>
          <w:rFonts w:hint="eastAsia"/>
        </w:rPr>
        <w:t>DH</w:t>
      </w:r>
      <w:r w:rsidR="00A30C42">
        <w:rPr>
          <w:rFonts w:hint="eastAsia"/>
        </w:rPr>
        <w:t>である。</w:t>
      </w:r>
      <w:r w:rsidR="00226826">
        <w:rPr>
          <w:rFonts w:hint="eastAsia"/>
        </w:rPr>
        <w:t>以上は、</w:t>
      </w:r>
      <w:r w:rsidR="00226826">
        <w:rPr>
          <w:rFonts w:hint="eastAsia"/>
        </w:rPr>
        <w:t>EU</w:t>
      </w:r>
      <w:r w:rsidR="00226826">
        <w:rPr>
          <w:rFonts w:hint="eastAsia"/>
        </w:rPr>
        <w:t>の預金保険指令に</w:t>
      </w:r>
      <w:r w:rsidR="00BF7262">
        <w:rPr>
          <w:rFonts w:hint="eastAsia"/>
        </w:rPr>
        <w:t>整合的なものとなっている</w:t>
      </w:r>
      <w:r w:rsidR="00BF7262">
        <w:rPr>
          <w:rStyle w:val="ac"/>
        </w:rPr>
        <w:footnoteReference w:id="12"/>
      </w:r>
      <w:r w:rsidR="00BF7262">
        <w:rPr>
          <w:rFonts w:hint="eastAsia"/>
        </w:rPr>
        <w:t>。</w:t>
      </w:r>
      <w:r w:rsidR="006368E4">
        <w:rPr>
          <w:rFonts w:hint="eastAsia"/>
        </w:rPr>
        <w:t>なお</w:t>
      </w:r>
      <w:r w:rsidR="00226826">
        <w:rPr>
          <w:rFonts w:hint="eastAsia"/>
        </w:rPr>
        <w:t>、</w:t>
      </w:r>
      <w:r w:rsidR="00BF7262">
        <w:rPr>
          <w:rFonts w:hint="eastAsia"/>
        </w:rPr>
        <w:t>条文の詳細</w:t>
      </w:r>
      <w:r w:rsidR="002A68E3">
        <w:rPr>
          <w:rFonts w:hint="eastAsia"/>
        </w:rPr>
        <w:t>および</w:t>
      </w:r>
      <w:r w:rsidR="00BF7262">
        <w:rPr>
          <w:rFonts w:hint="eastAsia"/>
        </w:rPr>
        <w:t>条文項目</w:t>
      </w:r>
      <w:r w:rsidR="00C6050F">
        <w:rPr>
          <w:rFonts w:hint="eastAsia"/>
        </w:rPr>
        <w:t>の</w:t>
      </w:r>
      <w:r w:rsidR="00BF7262">
        <w:rPr>
          <w:rFonts w:hint="eastAsia"/>
        </w:rPr>
        <w:t>比較検討</w:t>
      </w:r>
      <w:r w:rsidR="00C6050F">
        <w:rPr>
          <w:rFonts w:hint="eastAsia"/>
        </w:rPr>
        <w:t>作業は今後の課題と</w:t>
      </w:r>
      <w:r w:rsidR="006368E4">
        <w:rPr>
          <w:rFonts w:hint="eastAsia"/>
        </w:rPr>
        <w:t>したい</w:t>
      </w:r>
      <w:r w:rsidR="00C6050F">
        <w:rPr>
          <w:rFonts w:hint="eastAsia"/>
        </w:rPr>
        <w:t>。</w:t>
      </w:r>
    </w:p>
    <w:p w:rsidR="006368E4" w:rsidRPr="006368E4" w:rsidRDefault="006368E4" w:rsidP="009D7802">
      <w:pPr>
        <w:ind w:firstLineChars="100" w:firstLine="210"/>
      </w:pPr>
    </w:p>
    <w:p w:rsidR="00150D1A" w:rsidRDefault="00FE462E" w:rsidP="00150D1A">
      <w:pPr>
        <w:pStyle w:val="1"/>
      </w:pPr>
      <w:bookmarkStart w:id="9" w:name="_Toc302617243"/>
      <w:r>
        <w:rPr>
          <w:rFonts w:hint="eastAsia"/>
        </w:rPr>
        <w:lastRenderedPageBreak/>
        <w:t>Ⅲ</w:t>
      </w:r>
      <w:r w:rsidR="001E5832">
        <w:rPr>
          <w:rFonts w:hint="eastAsia"/>
        </w:rPr>
        <w:t>．金融</w:t>
      </w:r>
      <w:r w:rsidR="001E5832">
        <w:rPr>
          <w:rFonts w:hint="eastAsia"/>
        </w:rPr>
        <w:t>FDI</w:t>
      </w:r>
      <w:r w:rsidR="001E5832">
        <w:rPr>
          <w:rFonts w:hint="eastAsia"/>
        </w:rPr>
        <w:t>とモロッコ銀行市場</w:t>
      </w:r>
      <w:bookmarkEnd w:id="9"/>
    </w:p>
    <w:p w:rsidR="00150D1A" w:rsidRDefault="00150D1A" w:rsidP="00150D1A">
      <w:pPr>
        <w:pStyle w:val="2"/>
        <w:numPr>
          <w:ilvl w:val="0"/>
          <w:numId w:val="10"/>
        </w:numPr>
      </w:pPr>
      <w:bookmarkStart w:id="10" w:name="_Toc302617244"/>
      <w:r>
        <w:rPr>
          <w:rFonts w:hint="eastAsia"/>
        </w:rPr>
        <w:t>モロッコへの</w:t>
      </w:r>
      <w:r>
        <w:rPr>
          <w:rFonts w:hint="eastAsia"/>
        </w:rPr>
        <w:t>FDI</w:t>
      </w:r>
      <w:r>
        <w:rPr>
          <w:rFonts w:hint="eastAsia"/>
        </w:rPr>
        <w:t>流入の特徴</w:t>
      </w:r>
      <w:bookmarkEnd w:id="10"/>
    </w:p>
    <w:p w:rsidR="00150D1A" w:rsidRDefault="00150D1A" w:rsidP="00150D1A">
      <w:pPr>
        <w:ind w:firstLineChars="100" w:firstLine="210"/>
      </w:pPr>
      <w:r>
        <w:rPr>
          <w:rFonts w:hint="eastAsia"/>
        </w:rPr>
        <w:t>EU</w:t>
      </w:r>
      <w:r>
        <w:rPr>
          <w:rFonts w:hint="eastAsia"/>
        </w:rPr>
        <w:t>地中海政策を起点とする一連のプロセスによって、モロッコは「汎欧州生産ネットワーク」に包摂され、飛躍のきっかけを掴んだ。モロッコの実質</w:t>
      </w:r>
      <w:r>
        <w:rPr>
          <w:rFonts w:hint="eastAsia"/>
        </w:rPr>
        <w:t>GDP</w:t>
      </w:r>
      <w:r>
        <w:rPr>
          <w:rFonts w:hint="eastAsia"/>
        </w:rPr>
        <w:t>成長率</w:t>
      </w:r>
      <w:r>
        <w:rPr>
          <w:rFonts w:hint="eastAsia"/>
        </w:rPr>
        <w:t>(</w:t>
      </w:r>
      <w:r>
        <w:rPr>
          <w:rFonts w:hint="eastAsia"/>
        </w:rPr>
        <w:t>平均</w:t>
      </w:r>
      <w:r>
        <w:rPr>
          <w:rFonts w:hint="eastAsia"/>
        </w:rPr>
        <w:t>)</w:t>
      </w:r>
      <w:r>
        <w:rPr>
          <w:rFonts w:hint="eastAsia"/>
        </w:rPr>
        <w:t>は、</w:t>
      </w:r>
      <w:r>
        <w:rPr>
          <w:rFonts w:hint="eastAsia"/>
        </w:rPr>
        <w:t>1995</w:t>
      </w:r>
      <w:r>
        <w:rPr>
          <w:rFonts w:hint="eastAsia"/>
        </w:rPr>
        <w:t>～</w:t>
      </w:r>
      <w:r>
        <w:rPr>
          <w:rFonts w:hint="eastAsia"/>
        </w:rPr>
        <w:t>99</w:t>
      </w:r>
      <w:r>
        <w:rPr>
          <w:rFonts w:hint="eastAsia"/>
        </w:rPr>
        <w:t>年で</w:t>
      </w:r>
      <w:r>
        <w:rPr>
          <w:rFonts w:hint="eastAsia"/>
        </w:rPr>
        <w:t>2.3</w:t>
      </w:r>
      <w:r>
        <w:rPr>
          <w:rFonts w:hint="eastAsia"/>
        </w:rPr>
        <w:t>％であり、</w:t>
      </w:r>
      <w:r>
        <w:rPr>
          <w:rFonts w:hint="eastAsia"/>
        </w:rPr>
        <w:t>2000</w:t>
      </w:r>
      <w:r>
        <w:rPr>
          <w:rFonts w:hint="eastAsia"/>
        </w:rPr>
        <w:t>年以降は</w:t>
      </w:r>
      <w:r>
        <w:rPr>
          <w:rFonts w:hint="eastAsia"/>
        </w:rPr>
        <w:t>5%</w:t>
      </w:r>
      <w:r>
        <w:rPr>
          <w:rFonts w:hint="eastAsia"/>
        </w:rPr>
        <w:t>弱の成長率を維持している。</w:t>
      </w:r>
      <w:r>
        <w:rPr>
          <w:rFonts w:hint="eastAsia"/>
        </w:rPr>
        <w:t>2000</w:t>
      </w:r>
      <w:r>
        <w:rPr>
          <w:rFonts w:hint="eastAsia"/>
        </w:rPr>
        <w:t>年代、経済自由化、各種インフラ整備や海外投資の誘致策の成果により、成長軌道に乗り、財政状況や貿易収支も改善している。世界経済金融危機により、同国の</w:t>
      </w:r>
      <w:r>
        <w:rPr>
          <w:rFonts w:hint="eastAsia"/>
        </w:rPr>
        <w:t>FDI</w:t>
      </w:r>
      <w:r>
        <w:rPr>
          <w:rFonts w:hint="eastAsia"/>
        </w:rPr>
        <w:t>は減少するなどの影響があったものの、</w:t>
      </w:r>
      <w:r>
        <w:rPr>
          <w:rFonts w:hint="eastAsia"/>
        </w:rPr>
        <w:t>2008</w:t>
      </w:r>
      <w:r>
        <w:rPr>
          <w:rFonts w:hint="eastAsia"/>
        </w:rPr>
        <w:t>年の実質</w:t>
      </w:r>
      <w:r>
        <w:rPr>
          <w:rFonts w:hint="eastAsia"/>
        </w:rPr>
        <w:t>GDP</w:t>
      </w:r>
      <w:r>
        <w:rPr>
          <w:rFonts w:hint="eastAsia"/>
        </w:rPr>
        <w:t>成長率は</w:t>
      </w:r>
      <w:r>
        <w:rPr>
          <w:rFonts w:hint="eastAsia"/>
        </w:rPr>
        <w:t>5.6%</w:t>
      </w:r>
      <w:r>
        <w:rPr>
          <w:rFonts w:hint="eastAsia"/>
        </w:rPr>
        <w:t>を記録した。</w:t>
      </w:r>
      <w:r>
        <w:rPr>
          <w:rFonts w:hint="eastAsia"/>
        </w:rPr>
        <w:t>2009</w:t>
      </w:r>
      <w:r>
        <w:rPr>
          <w:rFonts w:hint="eastAsia"/>
        </w:rPr>
        <w:t>年においても主な貿易相手国である</w:t>
      </w:r>
      <w:r>
        <w:rPr>
          <w:rFonts w:hint="eastAsia"/>
        </w:rPr>
        <w:t>EU</w:t>
      </w:r>
      <w:r>
        <w:rPr>
          <w:rFonts w:hint="eastAsia"/>
        </w:rPr>
        <w:t>各国の景気後退がモロッコの実態経済にも影響を与え、</w:t>
      </w:r>
      <w:r>
        <w:rPr>
          <w:rFonts w:hint="eastAsia"/>
        </w:rPr>
        <w:t>FDI</w:t>
      </w:r>
      <w:r>
        <w:rPr>
          <w:rFonts w:hint="eastAsia"/>
        </w:rPr>
        <w:t>・貿易高・海外送金・観光収入の減少がみられたが、農業部門の好調や公共事業による内需拡大により、</w:t>
      </w:r>
      <w:r>
        <w:rPr>
          <w:rFonts w:hint="eastAsia"/>
        </w:rPr>
        <w:t>4.9</w:t>
      </w:r>
      <w:r>
        <w:rPr>
          <w:rFonts w:hint="eastAsia"/>
        </w:rPr>
        <w:t>％の成長を遂げた。</w:t>
      </w:r>
    </w:p>
    <w:p w:rsidR="00150D1A" w:rsidRDefault="00150D1A" w:rsidP="00150D1A">
      <w:pPr>
        <w:ind w:firstLineChars="100" w:firstLine="210"/>
      </w:pPr>
      <w:r>
        <w:rPr>
          <w:rFonts w:hint="eastAsia"/>
        </w:rPr>
        <w:t>ここでは、国別・産業部門別</w:t>
      </w:r>
      <w:r>
        <w:rPr>
          <w:rFonts w:hint="eastAsia"/>
        </w:rPr>
        <w:t>FDI</w:t>
      </w:r>
      <w:r>
        <w:rPr>
          <w:rFonts w:hint="eastAsia"/>
        </w:rPr>
        <w:t>流入先を整理する。「バルセロナ・プロセス」の初期の段階では、モロッコに対する</w:t>
      </w:r>
      <w:r>
        <w:rPr>
          <w:rFonts w:hint="eastAsia"/>
        </w:rPr>
        <w:t>FDI</w:t>
      </w:r>
      <w:r>
        <w:rPr>
          <w:rFonts w:hint="eastAsia"/>
        </w:rPr>
        <w:t>流入は比較的緩やかな伸びで推移してきたが、</w:t>
      </w:r>
      <w:r>
        <w:rPr>
          <w:rFonts w:hint="eastAsia"/>
        </w:rPr>
        <w:t>99</w:t>
      </w:r>
      <w:r>
        <w:rPr>
          <w:rFonts w:hint="eastAsia"/>
        </w:rPr>
        <w:t>年を境に急伸している。同国への</w:t>
      </w:r>
      <w:r>
        <w:rPr>
          <w:rFonts w:hint="eastAsia"/>
        </w:rPr>
        <w:t>FDI</w:t>
      </w:r>
      <w:r>
        <w:rPr>
          <w:rFonts w:hint="eastAsia"/>
        </w:rPr>
        <w:t>の投資国構成をみてみると、旧宗主国であるフランス、スペインからの投資が圧倒的なシェアを誇っている</w:t>
      </w:r>
      <w:r>
        <w:rPr>
          <w:rStyle w:val="ac"/>
        </w:rPr>
        <w:footnoteReference w:id="13"/>
      </w:r>
      <w:r>
        <w:rPr>
          <w:rFonts w:hint="eastAsia"/>
        </w:rPr>
        <w:t>。フランスからの</w:t>
      </w:r>
      <w:r>
        <w:rPr>
          <w:rFonts w:hint="eastAsia"/>
        </w:rPr>
        <w:t>FDI</w:t>
      </w:r>
      <w:r>
        <w:rPr>
          <w:rFonts w:hint="eastAsia"/>
        </w:rPr>
        <w:t>は極めて高い比率を示しており、モロッコにとって貿易・投資面において最も重要な経済パートナーとなっている。他方、中東欧諸国における製造業部門・金融部門での発展に大きな役割を果たしている、ドイツやオーストリアからの投資は極めて少ない</w:t>
      </w:r>
      <w:r>
        <w:rPr>
          <w:rStyle w:val="ac"/>
        </w:rPr>
        <w:footnoteReference w:id="14"/>
      </w:r>
      <w:r>
        <w:rPr>
          <w:rFonts w:hint="eastAsia"/>
        </w:rPr>
        <w:t>。加えて、産業部門別の対内</w:t>
      </w:r>
      <w:r>
        <w:rPr>
          <w:rFonts w:hint="eastAsia"/>
        </w:rPr>
        <w:t>FDI</w:t>
      </w:r>
      <w:r>
        <w:rPr>
          <w:rFonts w:hint="eastAsia"/>
        </w:rPr>
        <w:t>フローを見てみると、</w:t>
      </w:r>
      <w:r>
        <w:rPr>
          <w:rFonts w:hint="eastAsia"/>
        </w:rPr>
        <w:t>2000</w:t>
      </w:r>
      <w:r>
        <w:rPr>
          <w:rFonts w:hint="eastAsia"/>
        </w:rPr>
        <w:t>年代以降、製造業部門での</w:t>
      </w:r>
      <w:r>
        <w:rPr>
          <w:rFonts w:hint="eastAsia"/>
        </w:rPr>
        <w:t>FDI</w:t>
      </w:r>
      <w:r>
        <w:rPr>
          <w:rFonts w:hint="eastAsia"/>
        </w:rPr>
        <w:t>の増大が観察できるが、</w:t>
      </w:r>
      <w:r w:rsidRPr="002950B8">
        <w:rPr>
          <w:rFonts w:hint="eastAsia"/>
        </w:rPr>
        <w:t>併せて</w:t>
      </w:r>
      <w:r w:rsidRPr="002950B8">
        <w:rPr>
          <w:rFonts w:hint="eastAsia"/>
        </w:rPr>
        <w:t>2</w:t>
      </w:r>
      <w:r>
        <w:rPr>
          <w:rFonts w:hint="eastAsia"/>
        </w:rPr>
        <w:t>004</w:t>
      </w:r>
      <w:r>
        <w:rPr>
          <w:rFonts w:hint="eastAsia"/>
        </w:rPr>
        <w:t>年以降は銀行・保険部門での</w:t>
      </w:r>
      <w:r>
        <w:rPr>
          <w:rFonts w:hint="eastAsia"/>
        </w:rPr>
        <w:t>FDI</w:t>
      </w:r>
      <w:r>
        <w:rPr>
          <w:rFonts w:hint="eastAsia"/>
        </w:rPr>
        <w:t>が拡大基調にあることが分かる</w:t>
      </w:r>
      <w:r w:rsidRPr="00CA57F6">
        <w:rPr>
          <w:rFonts w:hint="eastAsia"/>
        </w:rPr>
        <w:t>(</w:t>
      </w:r>
      <w:r w:rsidRPr="00CA57F6">
        <w:rPr>
          <w:rFonts w:hint="eastAsia"/>
        </w:rPr>
        <w:t>図表</w:t>
      </w:r>
      <w:r w:rsidRPr="00CA57F6">
        <w:rPr>
          <w:rFonts w:hint="eastAsia"/>
        </w:rPr>
        <w:t>1)</w:t>
      </w:r>
      <w:r>
        <w:rPr>
          <w:rFonts w:hint="eastAsia"/>
        </w:rPr>
        <w:t>。</w:t>
      </w:r>
      <w:r>
        <w:rPr>
          <w:rFonts w:hint="eastAsia"/>
        </w:rPr>
        <w:t>2006</w:t>
      </w:r>
      <w:r>
        <w:rPr>
          <w:rFonts w:hint="eastAsia"/>
        </w:rPr>
        <w:t>年からの</w:t>
      </w:r>
      <w:r>
        <w:rPr>
          <w:rFonts w:hint="eastAsia"/>
        </w:rPr>
        <w:t>Plan Emergence</w:t>
      </w:r>
      <w:r>
        <w:rPr>
          <w:rFonts w:hint="eastAsia"/>
        </w:rPr>
        <w:t>の展開やルノー・日産による現地生産拡大計画の発表が呼び水となり、製造業部門向けの</w:t>
      </w:r>
      <w:r>
        <w:rPr>
          <w:rFonts w:hint="eastAsia"/>
        </w:rPr>
        <w:t>FDI</w:t>
      </w:r>
      <w:r>
        <w:rPr>
          <w:rFonts w:hint="eastAsia"/>
        </w:rPr>
        <w:t>、とりわけ、自動車・航空機部品産業に占める</w:t>
      </w:r>
      <w:r>
        <w:rPr>
          <w:rFonts w:hint="eastAsia"/>
        </w:rPr>
        <w:t>FDI</w:t>
      </w:r>
      <w:r>
        <w:rPr>
          <w:rFonts w:hint="eastAsia"/>
        </w:rPr>
        <w:t>の比率が上昇した</w:t>
      </w:r>
      <w:r>
        <w:rPr>
          <w:rStyle w:val="ac"/>
        </w:rPr>
        <w:footnoteReference w:id="15"/>
      </w:r>
      <w:r>
        <w:rPr>
          <w:rFonts w:hint="eastAsia"/>
        </w:rPr>
        <w:t>。モロッコでは、こうしたリーディングセクターにおける企業向けの資金調達に関する銀行部門の迅速な対応が求められている。モロッコの政府系金融機関</w:t>
      </w:r>
      <w:r>
        <w:rPr>
          <w:rFonts w:hint="eastAsia"/>
        </w:rPr>
        <w:t>(</w:t>
      </w:r>
      <w:proofErr w:type="spellStart"/>
      <w:r>
        <w:rPr>
          <w:rFonts w:hint="eastAsia"/>
        </w:rPr>
        <w:t>Caisse</w:t>
      </w:r>
      <w:proofErr w:type="spellEnd"/>
      <w:r>
        <w:rPr>
          <w:rFonts w:hint="eastAsia"/>
        </w:rPr>
        <w:t xml:space="preserve"> de </w:t>
      </w:r>
      <w:proofErr w:type="spellStart"/>
      <w:r>
        <w:rPr>
          <w:rFonts w:hint="eastAsia"/>
        </w:rPr>
        <w:t>Dépôt</w:t>
      </w:r>
      <w:proofErr w:type="spellEnd"/>
      <w:r>
        <w:rPr>
          <w:rFonts w:hint="eastAsia"/>
        </w:rPr>
        <w:t xml:space="preserve"> et de </w:t>
      </w:r>
      <w:proofErr w:type="spellStart"/>
      <w:r>
        <w:rPr>
          <w:rFonts w:hint="eastAsia"/>
        </w:rPr>
        <w:t>Gestion</w:t>
      </w:r>
      <w:proofErr w:type="spellEnd"/>
      <w:r>
        <w:rPr>
          <w:rFonts w:hint="eastAsia"/>
        </w:rPr>
        <w:t>；</w:t>
      </w:r>
      <w:r>
        <w:rPr>
          <w:rFonts w:hint="eastAsia"/>
        </w:rPr>
        <w:t>CDG)</w:t>
      </w:r>
      <w:r>
        <w:rPr>
          <w:rFonts w:hint="eastAsia"/>
        </w:rPr>
        <w:t>などは、製造業部門のプロジェクトへの資本参加を行っている。</w:t>
      </w:r>
    </w:p>
    <w:p w:rsidR="00150D1A" w:rsidRDefault="00150D1A" w:rsidP="00150D1A">
      <w:pPr>
        <w:ind w:firstLineChars="100" w:firstLine="210"/>
      </w:pPr>
      <w:r>
        <w:rPr>
          <w:rFonts w:hint="eastAsia"/>
        </w:rPr>
        <w:t>金融部門の</w:t>
      </w:r>
      <w:r>
        <w:rPr>
          <w:rFonts w:hint="eastAsia"/>
        </w:rPr>
        <w:t>FDI</w:t>
      </w:r>
      <w:r>
        <w:rPr>
          <w:rFonts w:hint="eastAsia"/>
        </w:rPr>
        <w:t>では、伝統的にフランス・スペインの金融機関からの比率が高い</w:t>
      </w:r>
      <w:r>
        <w:rPr>
          <w:rFonts w:hint="eastAsia"/>
        </w:rPr>
        <w:t>(</w:t>
      </w:r>
      <w:r w:rsidRPr="00CA57F6">
        <w:rPr>
          <w:rFonts w:hint="eastAsia"/>
        </w:rPr>
        <w:t>図表</w:t>
      </w:r>
      <w:r>
        <w:rPr>
          <w:rFonts w:hint="eastAsia"/>
        </w:rPr>
        <w:t>1)</w:t>
      </w:r>
      <w:r>
        <w:rPr>
          <w:rFonts w:hint="eastAsia"/>
        </w:rPr>
        <w:t>。前国王のハッサンⅡ世の在位中であった</w:t>
      </w:r>
      <w:r>
        <w:rPr>
          <w:rFonts w:hint="eastAsia"/>
        </w:rPr>
        <w:t>1994</w:t>
      </w:r>
      <w:r>
        <w:rPr>
          <w:rFonts w:hint="eastAsia"/>
        </w:rPr>
        <w:t>年以降、経済改革の一環として民営化を積極的に推進してきた。国営企業のテレコム・タバコ・砂糖会社などに加えて、国有銀行も対象となった。例えば、</w:t>
      </w:r>
      <w:r>
        <w:rPr>
          <w:rFonts w:hint="eastAsia"/>
        </w:rPr>
        <w:t>1995</w:t>
      </w:r>
      <w:r>
        <w:rPr>
          <w:rFonts w:hint="eastAsia"/>
        </w:rPr>
        <w:t>年に、政府保有の</w:t>
      </w:r>
      <w:r>
        <w:rPr>
          <w:rFonts w:hint="eastAsia"/>
        </w:rPr>
        <w:t>BMCE</w:t>
      </w:r>
      <w:r>
        <w:rPr>
          <w:rFonts w:hint="eastAsia"/>
        </w:rPr>
        <w:t>銀行</w:t>
      </w:r>
      <w:r>
        <w:rPr>
          <w:rFonts w:hint="eastAsia"/>
        </w:rPr>
        <w:t>(</w:t>
      </w:r>
      <w:proofErr w:type="spellStart"/>
      <w:r>
        <w:rPr>
          <w:rFonts w:hint="eastAsia"/>
        </w:rPr>
        <w:t>Banque</w:t>
      </w:r>
      <w:proofErr w:type="spellEnd"/>
      <w:r>
        <w:rPr>
          <w:rFonts w:hint="eastAsia"/>
        </w:rPr>
        <w:t xml:space="preserve"> </w:t>
      </w:r>
      <w:proofErr w:type="spellStart"/>
      <w:r>
        <w:rPr>
          <w:rFonts w:hint="eastAsia"/>
        </w:rPr>
        <w:t>Marocaine</w:t>
      </w:r>
      <w:proofErr w:type="spellEnd"/>
      <w:r>
        <w:rPr>
          <w:rFonts w:hint="eastAsia"/>
        </w:rPr>
        <w:t xml:space="preserve"> du Commerce </w:t>
      </w:r>
      <w:proofErr w:type="spellStart"/>
      <w:r>
        <w:rPr>
          <w:rFonts w:hint="eastAsia"/>
        </w:rPr>
        <w:t>Extérieur</w:t>
      </w:r>
      <w:proofErr w:type="spellEnd"/>
      <w:r>
        <w:rPr>
          <w:rFonts w:hint="eastAsia"/>
        </w:rPr>
        <w:t>：モロッコ貿易銀行</w:t>
      </w:r>
      <w:r>
        <w:rPr>
          <w:rFonts w:hint="eastAsia"/>
        </w:rPr>
        <w:t>)</w:t>
      </w:r>
      <w:r>
        <w:rPr>
          <w:rFonts w:hint="eastAsia"/>
        </w:rPr>
        <w:t>株式</w:t>
      </w:r>
      <w:r>
        <w:rPr>
          <w:rFonts w:hint="eastAsia"/>
        </w:rPr>
        <w:t>50.4%</w:t>
      </w:r>
      <w:r>
        <w:rPr>
          <w:rFonts w:hint="eastAsia"/>
        </w:rPr>
        <w:t>を売却した</w:t>
      </w:r>
      <w:r>
        <w:rPr>
          <w:rStyle w:val="ac"/>
        </w:rPr>
        <w:footnoteReference w:id="16"/>
      </w:r>
      <w:r>
        <w:rPr>
          <w:rFonts w:hint="eastAsia"/>
        </w:rPr>
        <w:t>。</w:t>
      </w:r>
      <w:r>
        <w:rPr>
          <w:rFonts w:hint="eastAsia"/>
        </w:rPr>
        <w:t>1997</w:t>
      </w:r>
      <w:r>
        <w:rPr>
          <w:rFonts w:hint="eastAsia"/>
        </w:rPr>
        <w:t>年には、</w:t>
      </w:r>
      <w:r w:rsidR="00C6050F">
        <w:rPr>
          <w:rFonts w:hint="eastAsia"/>
        </w:rPr>
        <w:t>BMCE</w:t>
      </w:r>
      <w:r w:rsidR="00C6050F">
        <w:rPr>
          <w:rFonts w:hint="eastAsia"/>
        </w:rPr>
        <w:t>の</w:t>
      </w:r>
      <w:r>
        <w:rPr>
          <w:rFonts w:hint="eastAsia"/>
        </w:rPr>
        <w:t>国有株は全て民間セクターに売却され、</w:t>
      </w:r>
      <w:r>
        <w:rPr>
          <w:rFonts w:hint="eastAsia"/>
        </w:rPr>
        <w:t>Morgan Grenfell and Co, (</w:t>
      </w:r>
      <w:r>
        <w:rPr>
          <w:rFonts w:hint="eastAsia"/>
        </w:rPr>
        <w:t>英</w:t>
      </w:r>
      <w:r>
        <w:rPr>
          <w:rFonts w:hint="eastAsia"/>
        </w:rPr>
        <w:t>)</w:t>
      </w:r>
      <w:r>
        <w:rPr>
          <w:rFonts w:hint="eastAsia"/>
        </w:rPr>
        <w:t>、</w:t>
      </w:r>
      <w:r>
        <w:rPr>
          <w:rFonts w:hint="eastAsia"/>
        </w:rPr>
        <w:t>Morgan Stanley(</w:t>
      </w:r>
      <w:r>
        <w:rPr>
          <w:rFonts w:hint="eastAsia"/>
        </w:rPr>
        <w:t>米</w:t>
      </w:r>
      <w:r>
        <w:rPr>
          <w:rFonts w:hint="eastAsia"/>
        </w:rPr>
        <w:t>)</w:t>
      </w:r>
      <w:r>
        <w:rPr>
          <w:rFonts w:hint="eastAsia"/>
        </w:rPr>
        <w:t>、現地</w:t>
      </w:r>
      <w:r>
        <w:rPr>
          <w:rFonts w:hint="eastAsia"/>
        </w:rPr>
        <w:lastRenderedPageBreak/>
        <w:t>の</w:t>
      </w:r>
      <w:r>
        <w:rPr>
          <w:rFonts w:hint="eastAsia"/>
        </w:rPr>
        <w:t xml:space="preserve">Royal </w:t>
      </w:r>
      <w:proofErr w:type="spellStart"/>
      <w:r>
        <w:rPr>
          <w:rFonts w:hint="eastAsia"/>
        </w:rPr>
        <w:t>Marocaine</w:t>
      </w:r>
      <w:proofErr w:type="spellEnd"/>
      <w:r>
        <w:rPr>
          <w:rFonts w:hint="eastAsia"/>
        </w:rPr>
        <w:t xml:space="preserve"> </w:t>
      </w:r>
      <w:proofErr w:type="spellStart"/>
      <w:r>
        <w:rPr>
          <w:rFonts w:hint="eastAsia"/>
        </w:rPr>
        <w:t>d</w:t>
      </w:r>
      <w:r>
        <w:t>’</w:t>
      </w:r>
      <w:r>
        <w:rPr>
          <w:rFonts w:hint="eastAsia"/>
        </w:rPr>
        <w:t>Assurance</w:t>
      </w:r>
      <w:proofErr w:type="spellEnd"/>
      <w:r>
        <w:rPr>
          <w:rFonts w:hint="eastAsia"/>
        </w:rPr>
        <w:t>などが株式を取得した</w:t>
      </w:r>
      <w:r>
        <w:rPr>
          <w:rStyle w:val="ac"/>
        </w:rPr>
        <w:footnoteReference w:id="17"/>
      </w:r>
      <w:r>
        <w:rPr>
          <w:rFonts w:hint="eastAsia"/>
        </w:rPr>
        <w:t>。</w:t>
      </w:r>
    </w:p>
    <w:p w:rsidR="00150D1A" w:rsidRPr="00CD5BCB" w:rsidRDefault="00150D1A" w:rsidP="009D7802"/>
    <w:p w:rsidR="00150D1A" w:rsidRDefault="00150D1A" w:rsidP="00150D1A">
      <w:pPr>
        <w:ind w:firstLineChars="100" w:firstLine="210"/>
        <w:jc w:val="center"/>
      </w:pPr>
      <w:r>
        <w:rPr>
          <w:rFonts w:hint="eastAsia"/>
        </w:rPr>
        <w:t>図表</w:t>
      </w:r>
      <w:r>
        <w:rPr>
          <w:rFonts w:hint="eastAsia"/>
        </w:rPr>
        <w:t>1</w:t>
      </w:r>
      <w:r>
        <w:rPr>
          <w:rFonts w:hint="eastAsia"/>
        </w:rPr>
        <w:t xml:space="preserve">　モロッコへの対内</w:t>
      </w:r>
      <w:r>
        <w:rPr>
          <w:rFonts w:hint="eastAsia"/>
        </w:rPr>
        <w:t>FDI</w:t>
      </w:r>
      <w:r>
        <w:rPr>
          <w:rFonts w:hint="eastAsia"/>
        </w:rPr>
        <w:t>フロー　産業別シェアの推移</w:t>
      </w:r>
    </w:p>
    <w:p w:rsidR="00150D1A" w:rsidRDefault="00150D1A" w:rsidP="00150D1A">
      <w:pPr>
        <w:ind w:firstLineChars="100" w:firstLine="210"/>
        <w:jc w:val="center"/>
      </w:pPr>
      <w:r w:rsidRPr="005026BA">
        <w:rPr>
          <w:rFonts w:hint="eastAsia"/>
          <w:noProof/>
        </w:rPr>
        <w:drawing>
          <wp:inline distT="0" distB="0" distL="0" distR="0" wp14:anchorId="21C9BA45" wp14:editId="52FB9E90">
            <wp:extent cx="5400040" cy="3296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296950"/>
                    </a:xfrm>
                    <a:prstGeom prst="rect">
                      <a:avLst/>
                    </a:prstGeom>
                    <a:noFill/>
                    <a:ln>
                      <a:noFill/>
                    </a:ln>
                  </pic:spPr>
                </pic:pic>
              </a:graphicData>
            </a:graphic>
          </wp:inline>
        </w:drawing>
      </w:r>
    </w:p>
    <w:p w:rsidR="00150D1A" w:rsidRPr="00EB29CE" w:rsidRDefault="00150D1A" w:rsidP="00150D1A">
      <w:pPr>
        <w:spacing w:line="240" w:lineRule="exact"/>
        <w:ind w:left="540" w:hangingChars="300" w:hanging="540"/>
        <w:jc w:val="left"/>
        <w:rPr>
          <w:rFonts w:ascii="Century" w:eastAsia="ＭＳ 明朝" w:hAnsi="Century" w:cs="Times New Roman"/>
          <w:sz w:val="18"/>
          <w:szCs w:val="18"/>
        </w:rPr>
      </w:pPr>
      <w:r w:rsidRPr="00472D3F">
        <w:rPr>
          <w:rFonts w:ascii="Century" w:eastAsia="ＭＳ 明朝" w:hAnsi="Century" w:cs="Times New Roman" w:hint="eastAsia"/>
          <w:sz w:val="18"/>
          <w:szCs w:val="18"/>
        </w:rPr>
        <w:t>出所：</w:t>
      </w:r>
      <w:r w:rsidRPr="00472D3F">
        <w:rPr>
          <w:rFonts w:ascii="Century" w:eastAsia="ＭＳ 明朝" w:hAnsi="Century" w:cs="Times New Roman"/>
          <w:sz w:val="18"/>
          <w:szCs w:val="18"/>
        </w:rPr>
        <w:t>92</w:t>
      </w:r>
      <w:r w:rsidRPr="00472D3F">
        <w:rPr>
          <w:rFonts w:ascii="Century" w:eastAsia="ＭＳ 明朝" w:hAnsi="Century" w:cs="Times New Roman" w:hint="eastAsia"/>
          <w:sz w:val="18"/>
          <w:szCs w:val="18"/>
        </w:rPr>
        <w:t>～</w:t>
      </w:r>
      <w:r w:rsidRPr="00472D3F">
        <w:rPr>
          <w:rFonts w:ascii="Century" w:eastAsia="ＭＳ 明朝" w:hAnsi="Century" w:cs="Times New Roman"/>
          <w:sz w:val="18"/>
          <w:szCs w:val="18"/>
        </w:rPr>
        <w:t>98</w:t>
      </w:r>
      <w:r w:rsidRPr="00472D3F">
        <w:rPr>
          <w:rFonts w:ascii="Century" w:eastAsia="ＭＳ 明朝" w:hAnsi="Century" w:cs="Times New Roman" w:hint="eastAsia"/>
          <w:sz w:val="18"/>
          <w:szCs w:val="18"/>
        </w:rPr>
        <w:t>年のデータは、</w:t>
      </w:r>
      <w:r w:rsidRPr="00472D3F">
        <w:rPr>
          <w:rFonts w:ascii="Century" w:eastAsia="ＭＳ 明朝" w:hAnsi="Century" w:cs="Times New Roman"/>
          <w:sz w:val="18"/>
          <w:szCs w:val="18"/>
        </w:rPr>
        <w:t xml:space="preserve">Haut Commissariat au Plan, </w:t>
      </w:r>
      <w:proofErr w:type="spellStart"/>
      <w:r w:rsidRPr="00472D3F">
        <w:rPr>
          <w:rFonts w:ascii="Century" w:eastAsia="ＭＳ 明朝" w:hAnsi="Century" w:cs="Times New Roman"/>
          <w:i/>
          <w:sz w:val="18"/>
          <w:szCs w:val="18"/>
        </w:rPr>
        <w:t>Annuaire</w:t>
      </w:r>
      <w:proofErr w:type="spellEnd"/>
      <w:r w:rsidRPr="00472D3F">
        <w:rPr>
          <w:rFonts w:ascii="Century" w:eastAsia="ＭＳ 明朝" w:hAnsi="Century" w:cs="Times New Roman"/>
          <w:i/>
          <w:sz w:val="18"/>
          <w:szCs w:val="18"/>
        </w:rPr>
        <w:t xml:space="preserve"> </w:t>
      </w:r>
      <w:proofErr w:type="spellStart"/>
      <w:r w:rsidRPr="00472D3F">
        <w:rPr>
          <w:rFonts w:ascii="Century" w:eastAsia="ＭＳ 明朝" w:hAnsi="Century" w:cs="Times New Roman"/>
          <w:i/>
          <w:sz w:val="18"/>
          <w:szCs w:val="18"/>
        </w:rPr>
        <w:t>stati</w:t>
      </w:r>
      <w:r w:rsidRPr="00472D3F">
        <w:rPr>
          <w:rFonts w:ascii="Century" w:eastAsia="ＭＳ 明朝" w:hAnsi="Century" w:cs="Times New Roman" w:hint="eastAsia"/>
          <w:i/>
          <w:sz w:val="18"/>
          <w:szCs w:val="18"/>
        </w:rPr>
        <w:t>s</w:t>
      </w:r>
      <w:r w:rsidRPr="00472D3F">
        <w:rPr>
          <w:rFonts w:ascii="Century" w:eastAsia="ＭＳ 明朝" w:hAnsi="Century" w:cs="Times New Roman"/>
          <w:i/>
          <w:sz w:val="18"/>
          <w:szCs w:val="18"/>
        </w:rPr>
        <w:t>tique</w:t>
      </w:r>
      <w:proofErr w:type="spellEnd"/>
      <w:r w:rsidRPr="00472D3F">
        <w:rPr>
          <w:rFonts w:ascii="Century" w:eastAsia="ＭＳ 明朝" w:hAnsi="Century" w:cs="Times New Roman"/>
          <w:i/>
          <w:sz w:val="18"/>
          <w:szCs w:val="18"/>
        </w:rPr>
        <w:t xml:space="preserve"> du </w:t>
      </w:r>
      <w:proofErr w:type="spellStart"/>
      <w:r w:rsidRPr="00472D3F">
        <w:rPr>
          <w:rFonts w:ascii="Century" w:eastAsia="ＭＳ 明朝" w:hAnsi="Century" w:cs="Times New Roman"/>
          <w:i/>
          <w:sz w:val="18"/>
          <w:szCs w:val="18"/>
        </w:rPr>
        <w:t>Maroc</w:t>
      </w:r>
      <w:proofErr w:type="spellEnd"/>
      <w:r w:rsidRPr="00472D3F">
        <w:rPr>
          <w:rFonts w:ascii="Century" w:eastAsia="ＭＳ 明朝" w:hAnsi="Century" w:cs="Times New Roman"/>
          <w:i/>
          <w:sz w:val="18"/>
          <w:szCs w:val="18"/>
        </w:rPr>
        <w:t xml:space="preserve"> 1997, 2000, </w:t>
      </w:r>
      <w:proofErr w:type="spellStart"/>
      <w:r w:rsidRPr="00472D3F">
        <w:rPr>
          <w:rFonts w:ascii="Century" w:eastAsia="ＭＳ 明朝" w:hAnsi="Century" w:cs="Times New Roman"/>
          <w:i/>
          <w:sz w:val="18"/>
          <w:szCs w:val="18"/>
        </w:rPr>
        <w:t>Royaume</w:t>
      </w:r>
      <w:proofErr w:type="spellEnd"/>
      <w:r w:rsidRPr="00472D3F">
        <w:rPr>
          <w:rFonts w:ascii="Century" w:eastAsia="ＭＳ 明朝" w:hAnsi="Century" w:cs="Times New Roman"/>
          <w:i/>
          <w:sz w:val="18"/>
          <w:szCs w:val="18"/>
        </w:rPr>
        <w:t xml:space="preserve"> du </w:t>
      </w:r>
      <w:proofErr w:type="spellStart"/>
      <w:r w:rsidRPr="00472D3F">
        <w:rPr>
          <w:rFonts w:ascii="Century" w:eastAsia="ＭＳ 明朝" w:hAnsi="Century" w:cs="Times New Roman"/>
          <w:i/>
          <w:sz w:val="18"/>
          <w:szCs w:val="18"/>
        </w:rPr>
        <w:t>Maroc</w:t>
      </w:r>
      <w:proofErr w:type="spellEnd"/>
      <w:r w:rsidRPr="00472D3F">
        <w:rPr>
          <w:rFonts w:ascii="Century" w:eastAsia="ＭＳ 明朝" w:hAnsi="Century" w:cs="Times New Roman"/>
          <w:sz w:val="18"/>
          <w:szCs w:val="18"/>
        </w:rPr>
        <w:t xml:space="preserve">, </w:t>
      </w:r>
      <w:proofErr w:type="spellStart"/>
      <w:r w:rsidRPr="00472D3F">
        <w:rPr>
          <w:rFonts w:ascii="Century" w:eastAsia="ＭＳ 明朝" w:hAnsi="Century" w:cs="Times New Roman"/>
          <w:sz w:val="18"/>
          <w:szCs w:val="18"/>
        </w:rPr>
        <w:t>diverses</w:t>
      </w:r>
      <w:proofErr w:type="spellEnd"/>
      <w:r w:rsidRPr="00472D3F">
        <w:rPr>
          <w:rFonts w:ascii="Century" w:eastAsia="ＭＳ 明朝" w:hAnsi="Century" w:cs="Times New Roman"/>
          <w:sz w:val="18"/>
          <w:szCs w:val="18"/>
        </w:rPr>
        <w:t xml:space="preserve"> </w:t>
      </w:r>
      <w:proofErr w:type="spellStart"/>
      <w:r w:rsidRPr="00472D3F">
        <w:rPr>
          <w:rFonts w:ascii="Century" w:eastAsia="ＭＳ 明朝" w:hAnsi="Century" w:cs="Times New Roman"/>
          <w:sz w:val="18"/>
          <w:szCs w:val="18"/>
        </w:rPr>
        <w:t>éditions</w:t>
      </w:r>
      <w:proofErr w:type="spellEnd"/>
      <w:r w:rsidRPr="00472D3F">
        <w:rPr>
          <w:rFonts w:ascii="Century" w:eastAsia="ＭＳ 明朝" w:hAnsi="Century" w:cs="Times New Roman" w:hint="eastAsia"/>
          <w:sz w:val="18"/>
          <w:szCs w:val="18"/>
        </w:rPr>
        <w:t>をもとに筆者作成。</w:t>
      </w:r>
      <w:r w:rsidRPr="00472D3F">
        <w:rPr>
          <w:rFonts w:ascii="Century" w:eastAsia="ＭＳ 明朝" w:hAnsi="Century" w:cs="Times New Roman"/>
          <w:sz w:val="18"/>
          <w:szCs w:val="18"/>
        </w:rPr>
        <w:t>99</w:t>
      </w:r>
      <w:r w:rsidRPr="00472D3F">
        <w:rPr>
          <w:rFonts w:ascii="Century" w:eastAsia="ＭＳ 明朝" w:hAnsi="Century" w:cs="Times New Roman" w:hint="eastAsia"/>
          <w:sz w:val="18"/>
          <w:szCs w:val="18"/>
        </w:rPr>
        <w:t>～</w:t>
      </w:r>
      <w:r w:rsidRPr="00472D3F">
        <w:rPr>
          <w:rFonts w:ascii="Century" w:eastAsia="ＭＳ 明朝" w:hAnsi="Century" w:cs="Times New Roman"/>
          <w:sz w:val="18"/>
          <w:szCs w:val="18"/>
        </w:rPr>
        <w:t>0</w:t>
      </w:r>
      <w:r w:rsidRPr="00472D3F">
        <w:rPr>
          <w:rFonts w:ascii="Century" w:eastAsia="ＭＳ 明朝" w:hAnsi="Century" w:cs="Times New Roman" w:hint="eastAsia"/>
          <w:sz w:val="18"/>
          <w:szCs w:val="18"/>
        </w:rPr>
        <w:t>9</w:t>
      </w:r>
      <w:r w:rsidRPr="00472D3F">
        <w:rPr>
          <w:rFonts w:ascii="Century" w:eastAsia="ＭＳ 明朝" w:hAnsi="Century" w:cs="Times New Roman" w:hint="eastAsia"/>
          <w:sz w:val="18"/>
          <w:szCs w:val="18"/>
        </w:rPr>
        <w:t>年のデータは、</w:t>
      </w:r>
      <w:proofErr w:type="spellStart"/>
      <w:r w:rsidRPr="00472D3F">
        <w:rPr>
          <w:rFonts w:ascii="Century" w:eastAsia="ＭＳ 明朝" w:hAnsi="Century" w:cs="Times New Roman"/>
          <w:sz w:val="18"/>
          <w:szCs w:val="18"/>
        </w:rPr>
        <w:t>Royaume</w:t>
      </w:r>
      <w:proofErr w:type="spellEnd"/>
      <w:r w:rsidRPr="00472D3F">
        <w:rPr>
          <w:rFonts w:ascii="Century" w:eastAsia="ＭＳ 明朝" w:hAnsi="Century" w:cs="Times New Roman"/>
          <w:sz w:val="18"/>
          <w:szCs w:val="18"/>
        </w:rPr>
        <w:t xml:space="preserve"> du </w:t>
      </w:r>
      <w:proofErr w:type="spellStart"/>
      <w:r w:rsidRPr="00472D3F">
        <w:rPr>
          <w:rFonts w:ascii="Century" w:eastAsia="ＭＳ 明朝" w:hAnsi="Century" w:cs="Times New Roman"/>
          <w:sz w:val="18"/>
          <w:szCs w:val="18"/>
        </w:rPr>
        <w:t>Maroc</w:t>
      </w:r>
      <w:proofErr w:type="spellEnd"/>
      <w:r w:rsidRPr="00472D3F">
        <w:rPr>
          <w:rFonts w:ascii="Century" w:eastAsia="ＭＳ 明朝" w:hAnsi="Century" w:cs="Times New Roman"/>
          <w:sz w:val="18"/>
          <w:szCs w:val="18"/>
        </w:rPr>
        <w:t xml:space="preserve"> Office des Changes, </w:t>
      </w:r>
      <w:r w:rsidRPr="00472D3F">
        <w:rPr>
          <w:rFonts w:ascii="Century" w:eastAsia="ＭＳ 明朝" w:hAnsi="Century" w:cs="Times New Roman"/>
          <w:i/>
          <w:sz w:val="18"/>
          <w:szCs w:val="18"/>
        </w:rPr>
        <w:t xml:space="preserve">Balance des </w:t>
      </w:r>
      <w:proofErr w:type="spellStart"/>
      <w:r w:rsidRPr="00472D3F">
        <w:rPr>
          <w:rFonts w:ascii="Century" w:eastAsia="ＭＳ 明朝" w:hAnsi="Century" w:cs="Times New Roman"/>
          <w:i/>
          <w:sz w:val="18"/>
          <w:szCs w:val="18"/>
        </w:rPr>
        <w:t>Pai</w:t>
      </w:r>
      <w:r w:rsidRPr="00472D3F">
        <w:rPr>
          <w:rFonts w:ascii="Century" w:eastAsia="ＭＳ 明朝" w:hAnsi="Century" w:cs="Times New Roman" w:hint="eastAsia"/>
          <w:i/>
          <w:sz w:val="18"/>
          <w:szCs w:val="18"/>
        </w:rPr>
        <w:t>e</w:t>
      </w:r>
      <w:r w:rsidRPr="00472D3F">
        <w:rPr>
          <w:rFonts w:ascii="Century" w:eastAsia="ＭＳ 明朝" w:hAnsi="Century" w:cs="Times New Roman"/>
          <w:i/>
          <w:sz w:val="18"/>
          <w:szCs w:val="18"/>
        </w:rPr>
        <w:t>ments</w:t>
      </w:r>
      <w:proofErr w:type="spellEnd"/>
      <w:r w:rsidRPr="00472D3F">
        <w:rPr>
          <w:rFonts w:ascii="Century" w:eastAsia="ＭＳ 明朝" w:hAnsi="Century" w:cs="Times New Roman"/>
          <w:i/>
          <w:sz w:val="18"/>
          <w:szCs w:val="18"/>
        </w:rPr>
        <w:t xml:space="preserve"> 1999-200</w:t>
      </w:r>
      <w:r w:rsidRPr="00472D3F">
        <w:rPr>
          <w:rFonts w:ascii="Century" w:eastAsia="ＭＳ 明朝" w:hAnsi="Century" w:cs="Times New Roman" w:hint="eastAsia"/>
          <w:i/>
          <w:sz w:val="18"/>
          <w:szCs w:val="18"/>
        </w:rPr>
        <w:t>9</w:t>
      </w:r>
      <w:r w:rsidRPr="00472D3F">
        <w:rPr>
          <w:rFonts w:ascii="Century" w:eastAsia="ＭＳ 明朝" w:hAnsi="Century" w:cs="Times New Roman" w:hint="eastAsia"/>
          <w:sz w:val="18"/>
          <w:szCs w:val="18"/>
        </w:rPr>
        <w:t xml:space="preserve">, </w:t>
      </w:r>
      <w:proofErr w:type="spellStart"/>
      <w:r w:rsidRPr="00472D3F">
        <w:rPr>
          <w:rFonts w:ascii="Century" w:eastAsia="ＭＳ 明朝" w:hAnsi="Century" w:cs="Times New Roman"/>
          <w:sz w:val="18"/>
          <w:szCs w:val="18"/>
        </w:rPr>
        <w:t>diverses</w:t>
      </w:r>
      <w:proofErr w:type="spellEnd"/>
      <w:r w:rsidRPr="00472D3F">
        <w:rPr>
          <w:rFonts w:ascii="Century" w:eastAsia="ＭＳ 明朝" w:hAnsi="Century" w:cs="Times New Roman"/>
          <w:sz w:val="18"/>
          <w:szCs w:val="18"/>
        </w:rPr>
        <w:t xml:space="preserve"> </w:t>
      </w:r>
      <w:proofErr w:type="spellStart"/>
      <w:r w:rsidRPr="00472D3F">
        <w:rPr>
          <w:rFonts w:ascii="Century" w:eastAsia="ＭＳ 明朝" w:hAnsi="Century" w:cs="Times New Roman"/>
          <w:sz w:val="18"/>
          <w:szCs w:val="18"/>
        </w:rPr>
        <w:t>éditions</w:t>
      </w:r>
      <w:proofErr w:type="spellEnd"/>
      <w:r w:rsidRPr="00472D3F">
        <w:rPr>
          <w:rFonts w:ascii="Century" w:eastAsia="ＭＳ 明朝" w:hAnsi="Century" w:cs="Times New Roman" w:hint="eastAsia"/>
          <w:sz w:val="18"/>
          <w:szCs w:val="18"/>
        </w:rPr>
        <w:t>をもとに筆者作成。</w:t>
      </w:r>
      <w:r w:rsidRPr="00472D3F">
        <w:rPr>
          <w:rFonts w:ascii="ＭＳ 明朝" w:eastAsia="ＭＳ 明朝" w:hAnsi="ＭＳ 明朝" w:cs="ＭＳ 明朝" w:hint="eastAsia"/>
          <w:sz w:val="18"/>
          <w:szCs w:val="18"/>
        </w:rPr>
        <w:t>※</w:t>
      </w:r>
      <w:r w:rsidRPr="00472D3F">
        <w:rPr>
          <w:rFonts w:ascii="Century" w:eastAsia="ＭＳ 明朝" w:hAnsi="Century" w:cs="Century"/>
          <w:sz w:val="18"/>
          <w:szCs w:val="18"/>
        </w:rPr>
        <w:t>92</w:t>
      </w:r>
      <w:r w:rsidRPr="00472D3F">
        <w:rPr>
          <w:rFonts w:ascii="Century" w:eastAsia="ＭＳ 明朝" w:hAnsi="Century" w:cs="Times New Roman" w:hint="eastAsia"/>
          <w:sz w:val="18"/>
          <w:szCs w:val="18"/>
        </w:rPr>
        <w:t>～</w:t>
      </w:r>
      <w:r w:rsidRPr="00472D3F">
        <w:rPr>
          <w:rFonts w:ascii="Century" w:eastAsia="ＭＳ 明朝" w:hAnsi="Century" w:cs="Times New Roman"/>
          <w:sz w:val="18"/>
          <w:szCs w:val="18"/>
        </w:rPr>
        <w:t>98</w:t>
      </w:r>
      <w:r w:rsidRPr="00472D3F">
        <w:rPr>
          <w:rFonts w:ascii="Century" w:eastAsia="ＭＳ 明朝" w:hAnsi="Century" w:cs="Times New Roman" w:hint="eastAsia"/>
          <w:sz w:val="18"/>
          <w:szCs w:val="18"/>
        </w:rPr>
        <w:t>年のデータに限り証券投資を含む。</w:t>
      </w:r>
      <w:r w:rsidRPr="00472D3F">
        <w:rPr>
          <w:rFonts w:ascii="Century" w:eastAsia="ＭＳ 明朝" w:hAnsi="Century" w:cs="Times New Roman" w:hint="eastAsia"/>
          <w:sz w:val="18"/>
          <w:szCs w:val="18"/>
        </w:rPr>
        <w:t>1</w:t>
      </w:r>
      <w:r w:rsidRPr="00472D3F">
        <w:rPr>
          <w:rFonts w:ascii="Century" w:eastAsia="ＭＳ 明朝" w:hAnsi="Century" w:cs="Times New Roman" w:hint="eastAsia"/>
          <w:sz w:val="18"/>
          <w:szCs w:val="18"/>
        </w:rPr>
        <w:t>ユーロ</w:t>
      </w:r>
      <w:r>
        <w:rPr>
          <w:rFonts w:ascii="Century" w:eastAsia="ＭＳ 明朝" w:hAnsi="Century" w:cs="Times New Roman" w:hint="eastAsia"/>
          <w:sz w:val="18"/>
          <w:szCs w:val="18"/>
        </w:rPr>
        <w:t>=11.3</w:t>
      </w:r>
      <w:r w:rsidRPr="00472D3F">
        <w:rPr>
          <w:rFonts w:ascii="Century" w:eastAsia="ＭＳ 明朝" w:hAnsi="Century" w:cs="Times New Roman" w:hint="eastAsia"/>
          <w:sz w:val="18"/>
          <w:szCs w:val="18"/>
        </w:rPr>
        <w:t>モロッコディルハム</w:t>
      </w:r>
      <w:r>
        <w:rPr>
          <w:rFonts w:ascii="Century" w:eastAsia="ＭＳ 明朝" w:hAnsi="Century" w:cs="Times New Roman" w:hint="eastAsia"/>
          <w:sz w:val="18"/>
          <w:szCs w:val="18"/>
        </w:rPr>
        <w:t>(2011</w:t>
      </w:r>
      <w:r w:rsidRPr="00472D3F">
        <w:rPr>
          <w:rFonts w:ascii="Century" w:eastAsia="ＭＳ 明朝" w:hAnsi="Century" w:cs="Times New Roman" w:hint="eastAsia"/>
          <w:sz w:val="18"/>
          <w:szCs w:val="18"/>
        </w:rPr>
        <w:t>年</w:t>
      </w:r>
      <w:r>
        <w:rPr>
          <w:rFonts w:ascii="Century" w:eastAsia="ＭＳ 明朝" w:hAnsi="Century" w:cs="Times New Roman" w:hint="eastAsia"/>
          <w:sz w:val="18"/>
          <w:szCs w:val="18"/>
        </w:rPr>
        <w:t>8</w:t>
      </w:r>
      <w:r w:rsidRPr="00472D3F">
        <w:rPr>
          <w:rFonts w:ascii="Century" w:eastAsia="ＭＳ 明朝" w:hAnsi="Century" w:cs="Times New Roman" w:hint="eastAsia"/>
          <w:sz w:val="18"/>
          <w:szCs w:val="18"/>
        </w:rPr>
        <w:t>月現在</w:t>
      </w:r>
      <w:r w:rsidRPr="00472D3F">
        <w:rPr>
          <w:rFonts w:ascii="Century" w:eastAsia="ＭＳ 明朝" w:hAnsi="Century" w:cs="Times New Roman" w:hint="eastAsia"/>
          <w:sz w:val="18"/>
          <w:szCs w:val="18"/>
        </w:rPr>
        <w:t>)</w:t>
      </w:r>
      <w:r w:rsidRPr="00472D3F">
        <w:rPr>
          <w:rFonts w:ascii="Century" w:eastAsia="ＭＳ 明朝" w:hAnsi="Century" w:cs="Times New Roman" w:hint="eastAsia"/>
          <w:sz w:val="18"/>
          <w:szCs w:val="18"/>
        </w:rPr>
        <w:t>。</w:t>
      </w:r>
    </w:p>
    <w:p w:rsidR="009D7802" w:rsidRDefault="009D7802" w:rsidP="009D7802">
      <w:pPr>
        <w:widowControl/>
        <w:ind w:firstLineChars="100" w:firstLine="210"/>
        <w:jc w:val="left"/>
      </w:pPr>
    </w:p>
    <w:p w:rsidR="00150D1A" w:rsidRDefault="009D7802" w:rsidP="009D7802">
      <w:pPr>
        <w:widowControl/>
        <w:ind w:firstLineChars="100" w:firstLine="210"/>
        <w:jc w:val="left"/>
      </w:pPr>
      <w:r>
        <w:rPr>
          <w:rFonts w:hint="eastAsia"/>
        </w:rPr>
        <w:t>同国における主な金融関連産業向けの</w:t>
      </w:r>
      <w:r>
        <w:rPr>
          <w:rFonts w:hint="eastAsia"/>
        </w:rPr>
        <w:t>FDI</w:t>
      </w:r>
      <w:r>
        <w:rPr>
          <w:rFonts w:hint="eastAsia"/>
        </w:rPr>
        <w:t>を整理してみると、主にフランス・スペインの金融機関からの投資の比率が高いことが観察される</w:t>
      </w:r>
      <w:r>
        <w:rPr>
          <w:rFonts w:hint="eastAsia"/>
        </w:rPr>
        <w:t>(</w:t>
      </w:r>
      <w:r>
        <w:rPr>
          <w:rFonts w:hint="eastAsia"/>
        </w:rPr>
        <w:t>図表</w:t>
      </w:r>
      <w:r>
        <w:rPr>
          <w:rFonts w:hint="eastAsia"/>
        </w:rPr>
        <w:t>2)</w:t>
      </w:r>
      <w:r>
        <w:rPr>
          <w:rFonts w:hint="eastAsia"/>
        </w:rPr>
        <w:t>。</w:t>
      </w:r>
      <w:r>
        <w:rPr>
          <w:rFonts w:hint="eastAsia"/>
        </w:rPr>
        <w:t>1993</w:t>
      </w:r>
      <w:r>
        <w:rPr>
          <w:rFonts w:hint="eastAsia"/>
        </w:rPr>
        <w:t>年には、植民地時代からの歴史的な関係を引き継ぎ、同国で初めて外資銀行として、</w:t>
      </w:r>
      <w:proofErr w:type="spellStart"/>
      <w:r>
        <w:rPr>
          <w:rFonts w:hint="eastAsia"/>
        </w:rPr>
        <w:t>Banco</w:t>
      </w:r>
      <w:proofErr w:type="spellEnd"/>
      <w:r>
        <w:rPr>
          <w:rFonts w:hint="eastAsia"/>
        </w:rPr>
        <w:t xml:space="preserve"> Exterior de </w:t>
      </w:r>
      <w:proofErr w:type="spellStart"/>
      <w:r>
        <w:rPr>
          <w:rFonts w:hint="eastAsia"/>
        </w:rPr>
        <w:t>España</w:t>
      </w:r>
      <w:proofErr w:type="spellEnd"/>
      <w:r>
        <w:rPr>
          <w:rFonts w:hint="eastAsia"/>
        </w:rPr>
        <w:t>(</w:t>
      </w:r>
      <w:r>
        <w:rPr>
          <w:rFonts w:hint="eastAsia"/>
        </w:rPr>
        <w:t>西</w:t>
      </w:r>
      <w:r>
        <w:rPr>
          <w:rFonts w:hint="eastAsia"/>
        </w:rPr>
        <w:t>)</w:t>
      </w:r>
      <w:r w:rsidR="006368E4">
        <w:rPr>
          <w:rFonts w:hint="eastAsia"/>
        </w:rPr>
        <w:t>の</w:t>
      </w:r>
      <w:r>
        <w:rPr>
          <w:rFonts w:hint="eastAsia"/>
        </w:rPr>
        <w:t>支店開設が認可された。モロッコの商業銀行は、外国の金融機関による多数株保有を許可されており、</w:t>
      </w:r>
      <w:r>
        <w:rPr>
          <w:rFonts w:hint="eastAsia"/>
        </w:rPr>
        <w:t>2000</w:t>
      </w:r>
      <w:r>
        <w:rPr>
          <w:rFonts w:hint="eastAsia"/>
        </w:rPr>
        <w:t>年代に入って同国の金融セクターにおける外資系銀行の役割は徐々に高まってきている。</w:t>
      </w:r>
      <w:r>
        <w:rPr>
          <w:rFonts w:hint="eastAsia"/>
        </w:rPr>
        <w:t>2004</w:t>
      </w:r>
      <w:r>
        <w:rPr>
          <w:rFonts w:hint="eastAsia"/>
        </w:rPr>
        <w:t>年以降は、石油価格の上昇などを背景に中東諸国からの投資が上昇傾向にあったが、</w:t>
      </w:r>
      <w:r>
        <w:rPr>
          <w:rFonts w:hint="eastAsia"/>
        </w:rPr>
        <w:t>ANIMA</w:t>
      </w:r>
      <w:r>
        <w:rPr>
          <w:rFonts w:hint="eastAsia"/>
        </w:rPr>
        <w:t>によれば、世界金融危機を背景に</w:t>
      </w:r>
      <w:r>
        <w:rPr>
          <w:rFonts w:hint="eastAsia"/>
        </w:rPr>
        <w:t>2009</w:t>
      </w:r>
      <w:r>
        <w:rPr>
          <w:rFonts w:hint="eastAsia"/>
        </w:rPr>
        <w:t>年以降は投資控えの動きもみられるという</w:t>
      </w:r>
      <w:r>
        <w:rPr>
          <w:rStyle w:val="ac"/>
        </w:rPr>
        <w:footnoteReference w:id="18"/>
      </w:r>
      <w:r>
        <w:rPr>
          <w:rFonts w:hint="eastAsia"/>
        </w:rPr>
        <w:t>。</w:t>
      </w:r>
    </w:p>
    <w:p w:rsidR="009D7802" w:rsidRDefault="009D7802" w:rsidP="009D7802">
      <w:pPr>
        <w:widowControl/>
        <w:ind w:firstLineChars="100" w:firstLine="210"/>
        <w:jc w:val="left"/>
      </w:pPr>
    </w:p>
    <w:p w:rsidR="009D7802" w:rsidRDefault="009D7802" w:rsidP="009D7802">
      <w:pPr>
        <w:widowControl/>
        <w:ind w:firstLineChars="100" w:firstLine="210"/>
        <w:jc w:val="left"/>
      </w:pPr>
    </w:p>
    <w:p w:rsidR="009D7802" w:rsidRDefault="009D7802" w:rsidP="009D7802">
      <w:pPr>
        <w:widowControl/>
        <w:ind w:firstLineChars="100" w:firstLine="210"/>
        <w:jc w:val="left"/>
      </w:pPr>
    </w:p>
    <w:p w:rsidR="00150D1A" w:rsidRDefault="00150D1A" w:rsidP="00150D1A">
      <w:pPr>
        <w:widowControl/>
        <w:jc w:val="center"/>
      </w:pPr>
      <w:r>
        <w:rPr>
          <w:rFonts w:hint="eastAsia"/>
        </w:rPr>
        <w:lastRenderedPageBreak/>
        <w:t>図表</w:t>
      </w:r>
      <w:r>
        <w:rPr>
          <w:rFonts w:hint="eastAsia"/>
        </w:rPr>
        <w:t>2</w:t>
      </w:r>
      <w:r>
        <w:rPr>
          <w:rFonts w:hint="eastAsia"/>
        </w:rPr>
        <w:t xml:space="preserve">　モロッコの銀行・保険セクターへの主な直接投資</w:t>
      </w:r>
    </w:p>
    <w:p w:rsidR="00150D1A" w:rsidRPr="00147AAA" w:rsidRDefault="00150D1A" w:rsidP="00150D1A">
      <w:pPr>
        <w:widowControl/>
        <w:jc w:val="center"/>
      </w:pPr>
      <w:r w:rsidRPr="00984156">
        <w:rPr>
          <w:noProof/>
        </w:rPr>
        <w:drawing>
          <wp:inline distT="0" distB="0" distL="0" distR="0" wp14:anchorId="19FEEEAE" wp14:editId="6417400E">
            <wp:extent cx="5400040" cy="6071660"/>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6071660"/>
                    </a:xfrm>
                    <a:prstGeom prst="rect">
                      <a:avLst/>
                    </a:prstGeom>
                    <a:noFill/>
                    <a:ln>
                      <a:noFill/>
                    </a:ln>
                  </pic:spPr>
                </pic:pic>
              </a:graphicData>
            </a:graphic>
          </wp:inline>
        </w:drawing>
      </w:r>
    </w:p>
    <w:p w:rsidR="00150D1A" w:rsidRPr="004C1210" w:rsidRDefault="00150D1A" w:rsidP="00150D1A">
      <w:pPr>
        <w:widowControl/>
        <w:spacing w:line="240" w:lineRule="exact"/>
        <w:jc w:val="left"/>
        <w:rPr>
          <w:sz w:val="18"/>
          <w:szCs w:val="18"/>
        </w:rPr>
      </w:pPr>
      <w:r w:rsidRPr="004C1210">
        <w:rPr>
          <w:rFonts w:hint="eastAsia"/>
          <w:sz w:val="18"/>
          <w:szCs w:val="18"/>
        </w:rPr>
        <w:t>出所：</w:t>
      </w:r>
      <w:r w:rsidRPr="004C1210">
        <w:rPr>
          <w:rFonts w:hint="eastAsia"/>
          <w:sz w:val="18"/>
          <w:szCs w:val="18"/>
        </w:rPr>
        <w:t>ANIMA, Foreign Direct Investment into MED, various issues</w:t>
      </w:r>
      <w:r w:rsidRPr="004C1210">
        <w:rPr>
          <w:rFonts w:hint="eastAsia"/>
          <w:sz w:val="18"/>
          <w:szCs w:val="18"/>
        </w:rPr>
        <w:t>および金融機関各行の広報資料・</w:t>
      </w:r>
      <w:r w:rsidRPr="004C1210">
        <w:rPr>
          <w:rFonts w:hint="eastAsia"/>
          <w:sz w:val="18"/>
          <w:szCs w:val="18"/>
        </w:rPr>
        <w:t>HP</w:t>
      </w:r>
      <w:r w:rsidRPr="004C1210">
        <w:rPr>
          <w:rFonts w:hint="eastAsia"/>
          <w:sz w:val="18"/>
          <w:szCs w:val="18"/>
        </w:rPr>
        <w:t>より筆者作成。</w:t>
      </w:r>
    </w:p>
    <w:p w:rsidR="00150D1A" w:rsidRPr="00150D1A" w:rsidRDefault="00150D1A" w:rsidP="00150D1A"/>
    <w:p w:rsidR="00150D1A" w:rsidRDefault="00150D1A" w:rsidP="00150D1A">
      <w:pPr>
        <w:pStyle w:val="2"/>
        <w:numPr>
          <w:ilvl w:val="0"/>
          <w:numId w:val="10"/>
        </w:numPr>
      </w:pPr>
      <w:bookmarkStart w:id="11" w:name="_Toc302617245"/>
      <w:r>
        <w:rPr>
          <w:rFonts w:hint="eastAsia"/>
        </w:rPr>
        <w:t>モロッコにおける外国銀国の現地通貨建て現地債権の拡大</w:t>
      </w:r>
      <w:bookmarkEnd w:id="11"/>
    </w:p>
    <w:p w:rsidR="00AD02BC" w:rsidRDefault="00EE1B4E" w:rsidP="00591048">
      <w:pPr>
        <w:ind w:firstLineChars="100" w:firstLine="210"/>
      </w:pPr>
      <w:r w:rsidRPr="00881ED8">
        <w:rPr>
          <w:rFonts w:hint="eastAsia"/>
        </w:rPr>
        <w:t>現代の</w:t>
      </w:r>
      <w:r w:rsidR="008B168B" w:rsidRPr="00881ED8">
        <w:rPr>
          <w:rFonts w:hint="eastAsia"/>
        </w:rPr>
        <w:t>世界経済においては、</w:t>
      </w:r>
      <w:r w:rsidR="00881ED8">
        <w:rPr>
          <w:rFonts w:hint="eastAsia"/>
        </w:rPr>
        <w:t>金融業のグローバル展開が大きく進展し、</w:t>
      </w:r>
      <w:r w:rsidR="00013531" w:rsidRPr="00881ED8">
        <w:rPr>
          <w:rFonts w:hint="eastAsia"/>
        </w:rPr>
        <w:t>成長著しい新興国</w:t>
      </w:r>
      <w:r w:rsidR="00825B55" w:rsidRPr="00881ED8">
        <w:rPr>
          <w:rFonts w:hint="eastAsia"/>
        </w:rPr>
        <w:t>および発展</w:t>
      </w:r>
      <w:r w:rsidR="00D64776" w:rsidRPr="00881ED8">
        <w:rPr>
          <w:rFonts w:hint="eastAsia"/>
        </w:rPr>
        <w:t>途上</w:t>
      </w:r>
      <w:r w:rsidR="00D04037" w:rsidRPr="00881ED8">
        <w:rPr>
          <w:rFonts w:hint="eastAsia"/>
        </w:rPr>
        <w:t>諸</w:t>
      </w:r>
      <w:r w:rsidR="00D64776" w:rsidRPr="00881ED8">
        <w:rPr>
          <w:rFonts w:hint="eastAsia"/>
        </w:rPr>
        <w:t>国</w:t>
      </w:r>
      <w:r w:rsidR="00825B55" w:rsidRPr="00881ED8">
        <w:rPr>
          <w:rFonts w:hint="eastAsia"/>
        </w:rPr>
        <w:t>の</w:t>
      </w:r>
      <w:r w:rsidR="00D64776" w:rsidRPr="00881ED8">
        <w:rPr>
          <w:rFonts w:hint="eastAsia"/>
        </w:rPr>
        <w:t>銀行</w:t>
      </w:r>
      <w:r w:rsidR="0091353D" w:rsidRPr="00881ED8">
        <w:rPr>
          <w:rFonts w:hint="eastAsia"/>
        </w:rPr>
        <w:t>市場</w:t>
      </w:r>
      <w:r w:rsidR="009A1789">
        <w:rPr>
          <w:rFonts w:hint="eastAsia"/>
        </w:rPr>
        <w:t>をも巻き込みながら国際銀行業務が変貌を遂げている</w:t>
      </w:r>
      <w:r w:rsidRPr="00881ED8">
        <w:rPr>
          <w:rFonts w:hint="eastAsia"/>
        </w:rPr>
        <w:t>。</w:t>
      </w:r>
      <w:r w:rsidR="00D64776">
        <w:rPr>
          <w:rFonts w:hint="eastAsia"/>
        </w:rPr>
        <w:t>とりわけ、</w:t>
      </w:r>
      <w:r w:rsidR="00121742">
        <w:rPr>
          <w:rFonts w:hint="eastAsia"/>
        </w:rPr>
        <w:t>「</w:t>
      </w:r>
      <w:r w:rsidR="00D64776">
        <w:rPr>
          <w:rFonts w:hint="eastAsia"/>
        </w:rPr>
        <w:t>銀行業</w:t>
      </w:r>
      <w:r w:rsidR="00121742">
        <w:rPr>
          <w:rFonts w:hint="eastAsia"/>
        </w:rPr>
        <w:t>」</w:t>
      </w:r>
      <w:r w:rsidR="00D64776">
        <w:rPr>
          <w:rFonts w:hint="eastAsia"/>
        </w:rPr>
        <w:t>として相手国銀行市場に「金融</w:t>
      </w:r>
      <w:r w:rsidR="00D64776">
        <w:rPr>
          <w:rFonts w:hint="eastAsia"/>
        </w:rPr>
        <w:t>FDI</w:t>
      </w:r>
      <w:r w:rsidR="00D64776">
        <w:rPr>
          <w:rFonts w:hint="eastAsia"/>
        </w:rPr>
        <w:t>」の形態により参入し、現地で獲得した支店網をベースとした対顧客業務を営む「多国籍リテール銀行業」が本格化してい</w:t>
      </w:r>
      <w:r w:rsidR="00D64776">
        <w:rPr>
          <w:rFonts w:hint="eastAsia"/>
        </w:rPr>
        <w:lastRenderedPageBreak/>
        <w:t>る</w:t>
      </w:r>
      <w:r w:rsidR="00D64776">
        <w:rPr>
          <w:rStyle w:val="ac"/>
        </w:rPr>
        <w:footnoteReference w:id="19"/>
      </w:r>
      <w:r w:rsidR="00D64776">
        <w:rPr>
          <w:rFonts w:hint="eastAsia"/>
        </w:rPr>
        <w:t>。</w:t>
      </w:r>
      <w:r w:rsidR="00F40D92">
        <w:rPr>
          <w:rFonts w:hint="eastAsia"/>
        </w:rPr>
        <w:t>これは、</w:t>
      </w:r>
      <w:r w:rsidR="00121742">
        <w:rPr>
          <w:rFonts w:hint="eastAsia"/>
        </w:rPr>
        <w:t>戦後</w:t>
      </w:r>
      <w:r w:rsidR="00F40D92">
        <w:rPr>
          <w:rFonts w:hint="eastAsia"/>
        </w:rPr>
        <w:t>の金融業の国際化のパターンと様相を異にするものである。従来は</w:t>
      </w:r>
      <w:r w:rsidR="00121742">
        <w:rPr>
          <w:rFonts w:hint="eastAsia"/>
        </w:rPr>
        <w:t>、国際中心地で</w:t>
      </w:r>
      <w:r w:rsidR="00F40D92">
        <w:rPr>
          <w:rFonts w:hint="eastAsia"/>
        </w:rPr>
        <w:t>の</w:t>
      </w:r>
      <w:r w:rsidR="00121742">
        <w:rPr>
          <w:rFonts w:hint="eastAsia"/>
        </w:rPr>
        <w:t>「多国籍ホールセール銀行業」</w:t>
      </w:r>
      <w:r w:rsidR="00F40D92">
        <w:rPr>
          <w:rFonts w:hint="eastAsia"/>
        </w:rPr>
        <w:t>の展開</w:t>
      </w:r>
      <w:r w:rsidR="005B2D49">
        <w:rPr>
          <w:rFonts w:hint="eastAsia"/>
        </w:rPr>
        <w:t>や、</w:t>
      </w:r>
      <w:r w:rsidR="00F266EA">
        <w:rPr>
          <w:rFonts w:hint="eastAsia"/>
        </w:rPr>
        <w:t>国内企業の進出先</w:t>
      </w:r>
      <w:r w:rsidR="00591048">
        <w:rPr>
          <w:rFonts w:hint="eastAsia"/>
        </w:rPr>
        <w:t>で</w:t>
      </w:r>
      <w:r w:rsidR="00F266EA">
        <w:rPr>
          <w:rFonts w:hint="eastAsia"/>
        </w:rPr>
        <w:t>自国の企業</w:t>
      </w:r>
      <w:r w:rsidR="00121742">
        <w:rPr>
          <w:rFonts w:hint="eastAsia"/>
        </w:rPr>
        <w:t>向け</w:t>
      </w:r>
      <w:r w:rsidR="005B2D49">
        <w:rPr>
          <w:rFonts w:hint="eastAsia"/>
        </w:rPr>
        <w:t>のサービスを行う「多国籍サービス銀行業」</w:t>
      </w:r>
      <w:r w:rsidR="00F40D92">
        <w:rPr>
          <w:rFonts w:hint="eastAsia"/>
        </w:rPr>
        <w:t>が主流であった</w:t>
      </w:r>
      <w:r w:rsidR="00D04037">
        <w:rPr>
          <w:rStyle w:val="ac"/>
        </w:rPr>
        <w:footnoteReference w:id="20"/>
      </w:r>
      <w:r w:rsidR="00591048">
        <w:rPr>
          <w:rFonts w:hint="eastAsia"/>
        </w:rPr>
        <w:t>。</w:t>
      </w:r>
      <w:r w:rsidR="00F40D92">
        <w:rPr>
          <w:rFonts w:hint="eastAsia"/>
        </w:rPr>
        <w:t>2000</w:t>
      </w:r>
      <w:r w:rsidR="00F40D92">
        <w:rPr>
          <w:rFonts w:hint="eastAsia"/>
        </w:rPr>
        <w:t>年代</w:t>
      </w:r>
      <w:r w:rsidR="00655622">
        <w:rPr>
          <w:rFonts w:hint="eastAsia"/>
        </w:rPr>
        <w:t>以降、新興国・発展途上諸国の銀行市場を舞台に急増する</w:t>
      </w:r>
      <w:r w:rsidR="00591048">
        <w:rPr>
          <w:rFonts w:hint="eastAsia"/>
        </w:rPr>
        <w:t>「</w:t>
      </w:r>
      <w:r w:rsidR="00F266EA">
        <w:rPr>
          <w:rFonts w:hint="eastAsia"/>
        </w:rPr>
        <w:t>金融</w:t>
      </w:r>
      <w:r w:rsidR="00F266EA">
        <w:rPr>
          <w:rFonts w:hint="eastAsia"/>
        </w:rPr>
        <w:t>FDI</w:t>
      </w:r>
      <w:r w:rsidR="00591048">
        <w:rPr>
          <w:rFonts w:hint="eastAsia"/>
        </w:rPr>
        <w:t>」</w:t>
      </w:r>
      <w:r w:rsidR="00F266EA">
        <w:rPr>
          <w:rFonts w:hint="eastAsia"/>
        </w:rPr>
        <w:t>を</w:t>
      </w:r>
      <w:r w:rsidR="004C06C6">
        <w:rPr>
          <w:rFonts w:hint="eastAsia"/>
        </w:rPr>
        <w:t>通じた</w:t>
      </w:r>
      <w:r w:rsidR="00655622">
        <w:rPr>
          <w:rFonts w:hint="eastAsia"/>
        </w:rPr>
        <w:t>外資系銀行の</w:t>
      </w:r>
      <w:r w:rsidR="00F266EA">
        <w:rPr>
          <w:rFonts w:hint="eastAsia"/>
        </w:rPr>
        <w:t>現地で</w:t>
      </w:r>
      <w:r w:rsidR="00591048">
        <w:rPr>
          <w:rFonts w:hint="eastAsia"/>
        </w:rPr>
        <w:t>の</w:t>
      </w:r>
      <w:r w:rsidR="00F266EA">
        <w:rPr>
          <w:rFonts w:hint="eastAsia"/>
        </w:rPr>
        <w:t>ネットワーク構築</w:t>
      </w:r>
      <w:r w:rsidR="00D04037">
        <w:rPr>
          <w:rFonts w:hint="eastAsia"/>
        </w:rPr>
        <w:t>は、金融業の国際展開の</w:t>
      </w:r>
      <w:r w:rsidR="00655622">
        <w:rPr>
          <w:rFonts w:hint="eastAsia"/>
        </w:rPr>
        <w:t>新たなトレンドであるといえる</w:t>
      </w:r>
      <w:r w:rsidR="005B2D49">
        <w:rPr>
          <w:rFonts w:hint="eastAsia"/>
        </w:rPr>
        <w:t>。</w:t>
      </w:r>
    </w:p>
    <w:p w:rsidR="00B643CC" w:rsidRDefault="002555EC" w:rsidP="00C67B0A">
      <w:pPr>
        <w:ind w:firstLineChars="100" w:firstLine="210"/>
      </w:pPr>
      <w:r>
        <w:rPr>
          <w:rFonts w:hint="eastAsia"/>
        </w:rPr>
        <w:t>先行研究</w:t>
      </w:r>
      <w:r w:rsidR="005B2D49">
        <w:rPr>
          <w:rFonts w:hint="eastAsia"/>
        </w:rPr>
        <w:t>では、中東欧・バルト海諸国</w:t>
      </w:r>
      <w:r w:rsidR="00591048">
        <w:rPr>
          <w:rFonts w:hint="eastAsia"/>
        </w:rPr>
        <w:t>、</w:t>
      </w:r>
      <w:r w:rsidR="005B2D49">
        <w:rPr>
          <w:rFonts w:hint="eastAsia"/>
        </w:rPr>
        <w:t>ラテンアメリカ諸国において、同様のトレンドが出現していることが明らかになっている</w:t>
      </w:r>
      <w:r w:rsidR="00F40D92">
        <w:rPr>
          <w:rStyle w:val="ac"/>
        </w:rPr>
        <w:footnoteReference w:id="21"/>
      </w:r>
      <w:r w:rsidR="005B2D49">
        <w:rPr>
          <w:rFonts w:hint="eastAsia"/>
        </w:rPr>
        <w:t>。</w:t>
      </w:r>
      <w:r>
        <w:rPr>
          <w:rFonts w:hint="eastAsia"/>
        </w:rPr>
        <w:t>バニンコバ</w:t>
      </w:r>
      <w:r>
        <w:rPr>
          <w:rFonts w:hint="eastAsia"/>
        </w:rPr>
        <w:t>(2009)</w:t>
      </w:r>
      <w:r>
        <w:rPr>
          <w:rFonts w:hint="eastAsia"/>
        </w:rPr>
        <w:t>は、</w:t>
      </w:r>
      <w:r w:rsidR="00F266EA">
        <w:rPr>
          <w:rFonts w:hint="eastAsia"/>
        </w:rPr>
        <w:t>2000</w:t>
      </w:r>
      <w:r w:rsidR="00F266EA">
        <w:rPr>
          <w:rFonts w:hint="eastAsia"/>
        </w:rPr>
        <w:t>年代、</w:t>
      </w:r>
      <w:r>
        <w:rPr>
          <w:rFonts w:hint="eastAsia"/>
        </w:rPr>
        <w:t>中東欧・バルト</w:t>
      </w:r>
      <w:r>
        <w:rPr>
          <w:rFonts w:hint="eastAsia"/>
        </w:rPr>
        <w:t>3</w:t>
      </w:r>
      <w:r>
        <w:rPr>
          <w:rFonts w:hint="eastAsia"/>
        </w:rPr>
        <w:t>国</w:t>
      </w:r>
      <w:r w:rsidR="00655622">
        <w:rPr>
          <w:rFonts w:hint="eastAsia"/>
        </w:rPr>
        <w:t>において</w:t>
      </w:r>
      <w:r w:rsidR="00CF0FB5">
        <w:rPr>
          <w:rFonts w:hint="eastAsia"/>
        </w:rPr>
        <w:t>、</w:t>
      </w:r>
      <w:r w:rsidR="00655622">
        <w:rPr>
          <w:rFonts w:hint="eastAsia"/>
        </w:rPr>
        <w:t>製造業部門向けの</w:t>
      </w:r>
      <w:r w:rsidR="00CF0FB5">
        <w:rPr>
          <w:rFonts w:hint="eastAsia"/>
        </w:rPr>
        <w:t>FDI</w:t>
      </w:r>
      <w:r w:rsidR="00DC4CB7">
        <w:rPr>
          <w:rFonts w:hint="eastAsia"/>
        </w:rPr>
        <w:t>に加えて、</w:t>
      </w:r>
      <w:r w:rsidR="00121742">
        <w:rPr>
          <w:rFonts w:hint="eastAsia"/>
        </w:rPr>
        <w:t>金融部門向けの</w:t>
      </w:r>
      <w:r w:rsidR="00121742">
        <w:rPr>
          <w:rFonts w:hint="eastAsia"/>
        </w:rPr>
        <w:t>FDI</w:t>
      </w:r>
      <w:r w:rsidR="00CF0FB5">
        <w:rPr>
          <w:rFonts w:hint="eastAsia"/>
        </w:rPr>
        <w:t>も</w:t>
      </w:r>
      <w:r w:rsidR="00F266EA">
        <w:rPr>
          <w:rFonts w:hint="eastAsia"/>
        </w:rPr>
        <w:t>急増し</w:t>
      </w:r>
      <w:r w:rsidR="00CF0FB5">
        <w:rPr>
          <w:rFonts w:hint="eastAsia"/>
        </w:rPr>
        <w:t>、</w:t>
      </w:r>
      <w:r w:rsidR="00D04037">
        <w:rPr>
          <w:rFonts w:hint="eastAsia"/>
        </w:rPr>
        <w:t>全面的な外資依存のもと</w:t>
      </w:r>
      <w:r w:rsidR="00121742">
        <w:rPr>
          <w:rFonts w:hint="eastAsia"/>
        </w:rPr>
        <w:t>「外資主導型銀行制度」が急展開したことを明らかにしている。これら諸国</w:t>
      </w:r>
      <w:r w:rsidR="008B168B">
        <w:rPr>
          <w:rFonts w:hint="eastAsia"/>
        </w:rPr>
        <w:t>は、</w:t>
      </w:r>
      <w:r w:rsidR="00121742">
        <w:rPr>
          <w:rFonts w:hint="eastAsia"/>
        </w:rPr>
        <w:t>EU</w:t>
      </w:r>
      <w:r w:rsidR="00121742">
        <w:rPr>
          <w:rFonts w:hint="eastAsia"/>
        </w:rPr>
        <w:t>加盟に至る段階で</w:t>
      </w:r>
      <w:r w:rsidR="00121742">
        <w:rPr>
          <w:rFonts w:hint="eastAsia"/>
        </w:rPr>
        <w:t>EU</w:t>
      </w:r>
      <w:r w:rsidR="00121742">
        <w:rPr>
          <w:rFonts w:hint="eastAsia"/>
        </w:rPr>
        <w:t>金融法制</w:t>
      </w:r>
      <w:r w:rsidR="00121742">
        <w:rPr>
          <w:rFonts w:hint="eastAsia"/>
        </w:rPr>
        <w:t>(</w:t>
      </w:r>
      <w:r w:rsidR="00121742">
        <w:rPr>
          <w:rFonts w:hint="eastAsia"/>
        </w:rPr>
        <w:t>アキ・コミュノテール</w:t>
      </w:r>
      <w:r w:rsidR="00121742">
        <w:rPr>
          <w:rFonts w:hint="eastAsia"/>
        </w:rPr>
        <w:t>)</w:t>
      </w:r>
      <w:r w:rsidR="004C1210">
        <w:rPr>
          <w:rFonts w:hint="eastAsia"/>
        </w:rPr>
        <w:t>を一貫して</w:t>
      </w:r>
      <w:r w:rsidR="00121742">
        <w:rPr>
          <w:rFonts w:hint="eastAsia"/>
        </w:rPr>
        <w:t>受け入れた結果、</w:t>
      </w:r>
      <w:r w:rsidR="00121742">
        <w:rPr>
          <w:rFonts w:hint="eastAsia"/>
        </w:rPr>
        <w:t>EU</w:t>
      </w:r>
      <w:r w:rsidR="00121742">
        <w:rPr>
          <w:rFonts w:hint="eastAsia"/>
        </w:rPr>
        <w:t>単一</w:t>
      </w:r>
      <w:r w:rsidR="00F266EA">
        <w:rPr>
          <w:rFonts w:hint="eastAsia"/>
        </w:rPr>
        <w:t>銀行</w:t>
      </w:r>
      <w:r w:rsidR="00121742">
        <w:rPr>
          <w:rFonts w:hint="eastAsia"/>
        </w:rPr>
        <w:t>免許を利用した</w:t>
      </w:r>
      <w:r w:rsidR="00AD7086">
        <w:rPr>
          <w:rFonts w:hint="eastAsia"/>
        </w:rPr>
        <w:t>ドイツ・オーストリア・北欧諸国の銀行</w:t>
      </w:r>
      <w:r w:rsidR="00EE1B4E">
        <w:rPr>
          <w:rFonts w:hint="eastAsia"/>
        </w:rPr>
        <w:t>が「金融</w:t>
      </w:r>
      <w:r w:rsidR="00EE1B4E">
        <w:rPr>
          <w:rFonts w:hint="eastAsia"/>
        </w:rPr>
        <w:t>FDI</w:t>
      </w:r>
      <w:r w:rsidR="00EE1B4E">
        <w:rPr>
          <w:rFonts w:hint="eastAsia"/>
        </w:rPr>
        <w:t>」の東方シフトを加速させた。</w:t>
      </w:r>
      <w:r w:rsidR="004C1210">
        <w:rPr>
          <w:rFonts w:hint="eastAsia"/>
        </w:rPr>
        <w:t>こうした</w:t>
      </w:r>
      <w:r w:rsidR="004C1210">
        <w:rPr>
          <w:rFonts w:hint="eastAsia"/>
        </w:rPr>
        <w:t>EU</w:t>
      </w:r>
      <w:r w:rsidR="004C1210">
        <w:rPr>
          <w:rFonts w:hint="eastAsia"/>
        </w:rPr>
        <w:t>の銀行は、本国でのサービスと同質の金融サービスを</w:t>
      </w:r>
      <w:r w:rsidR="001D2B0D">
        <w:rPr>
          <w:rFonts w:hint="eastAsia"/>
        </w:rPr>
        <w:t>進出先でも</w:t>
      </w:r>
      <w:r w:rsidR="004C1210">
        <w:rPr>
          <w:rFonts w:hint="eastAsia"/>
        </w:rPr>
        <w:t>展開</w:t>
      </w:r>
      <w:r w:rsidR="001D2B0D">
        <w:rPr>
          <w:rFonts w:hint="eastAsia"/>
        </w:rPr>
        <w:t>し、現地で業務を完結する。</w:t>
      </w:r>
      <w:r w:rsidR="00EE1B4E">
        <w:rPr>
          <w:rFonts w:hint="eastAsia"/>
        </w:rPr>
        <w:t>かくして、外資</w:t>
      </w:r>
      <w:r w:rsidR="00AD7086">
        <w:rPr>
          <w:rFonts w:hint="eastAsia"/>
        </w:rPr>
        <w:t>主導下で</w:t>
      </w:r>
      <w:r w:rsidR="00DC4CB7">
        <w:rPr>
          <w:rFonts w:hint="eastAsia"/>
        </w:rPr>
        <w:t>同エリアの金融サービス業は</w:t>
      </w:r>
      <w:r w:rsidR="00AD7086">
        <w:rPr>
          <w:rFonts w:hint="eastAsia"/>
        </w:rPr>
        <w:t>著しい変貌を遂げた</w:t>
      </w:r>
      <w:r w:rsidR="00CF0FB5">
        <w:rPr>
          <w:rFonts w:hint="eastAsia"/>
        </w:rPr>
        <w:t>。</w:t>
      </w:r>
      <w:r w:rsidR="00EE1B4E">
        <w:rPr>
          <w:rFonts w:hint="eastAsia"/>
        </w:rPr>
        <w:t>これは、当該エリアが</w:t>
      </w:r>
      <w:r w:rsidR="00655622">
        <w:rPr>
          <w:rFonts w:hint="eastAsia"/>
        </w:rPr>
        <w:t>EU</w:t>
      </w:r>
      <w:r w:rsidR="00DC4CB7">
        <w:rPr>
          <w:rFonts w:hint="eastAsia"/>
        </w:rPr>
        <w:t>金融サービス域内市場に取り込まれると同時に、</w:t>
      </w:r>
      <w:r w:rsidR="00591048">
        <w:rPr>
          <w:rFonts w:hint="eastAsia"/>
        </w:rPr>
        <w:t>EU</w:t>
      </w:r>
      <w:r w:rsidR="00591048">
        <w:rPr>
          <w:rFonts w:hint="eastAsia"/>
        </w:rPr>
        <w:t>の金融規制監督制度</w:t>
      </w:r>
      <w:r w:rsidR="00655622">
        <w:rPr>
          <w:rFonts w:hint="eastAsia"/>
        </w:rPr>
        <w:t>の下に置かれた</w:t>
      </w:r>
      <w:r w:rsidR="00EE1B4E">
        <w:rPr>
          <w:rFonts w:hint="eastAsia"/>
        </w:rPr>
        <w:t>ことを</w:t>
      </w:r>
      <w:r w:rsidR="00C67B0A">
        <w:rPr>
          <w:rFonts w:hint="eastAsia"/>
        </w:rPr>
        <w:t>意味</w:t>
      </w:r>
      <w:r w:rsidR="00AE2FDD">
        <w:rPr>
          <w:rFonts w:hint="eastAsia"/>
        </w:rPr>
        <w:t>している</w:t>
      </w:r>
      <w:r w:rsidR="00655622">
        <w:rPr>
          <w:rFonts w:hint="eastAsia"/>
        </w:rPr>
        <w:t>。</w:t>
      </w:r>
    </w:p>
    <w:p w:rsidR="00B643CC" w:rsidRDefault="00591048" w:rsidP="00150D1A">
      <w:pPr>
        <w:ind w:firstLineChars="100" w:firstLine="210"/>
      </w:pPr>
      <w:r>
        <w:rPr>
          <w:rFonts w:hint="eastAsia"/>
        </w:rPr>
        <w:t>従って、</w:t>
      </w:r>
      <w:r>
        <w:rPr>
          <w:rFonts w:hint="eastAsia"/>
        </w:rPr>
        <w:t>2000</w:t>
      </w:r>
      <w:r>
        <w:rPr>
          <w:rFonts w:hint="eastAsia"/>
        </w:rPr>
        <w:t>年以降の途上国の銀行セクターを分析する際には、諸外国からの金融部門向けの直接投資について考察する必要がある</w:t>
      </w:r>
      <w:r w:rsidR="00F40D92">
        <w:rPr>
          <w:rFonts w:hint="eastAsia"/>
        </w:rPr>
        <w:t>。</w:t>
      </w:r>
      <w:r w:rsidR="00EE1B4E">
        <w:rPr>
          <w:rFonts w:hint="eastAsia"/>
        </w:rPr>
        <w:t>投資受入国側である</w:t>
      </w:r>
      <w:r w:rsidR="002C7CCC">
        <w:rPr>
          <w:rFonts w:hint="eastAsia"/>
        </w:rPr>
        <w:t>モロッコ</w:t>
      </w:r>
      <w:r>
        <w:rPr>
          <w:rFonts w:hint="eastAsia"/>
        </w:rPr>
        <w:t>の</w:t>
      </w:r>
      <w:r w:rsidR="00AE2FDD">
        <w:rPr>
          <w:rFonts w:hint="eastAsia"/>
        </w:rPr>
        <w:t>銀行市場の所有構造</w:t>
      </w:r>
      <w:r>
        <w:rPr>
          <w:rFonts w:hint="eastAsia"/>
        </w:rPr>
        <w:t>にい</w:t>
      </w:r>
      <w:r w:rsidR="0095382A">
        <w:rPr>
          <w:rFonts w:hint="eastAsia"/>
        </w:rPr>
        <w:t>かなる変化が生じてきているのか、その実態を明らかにしたい</w:t>
      </w:r>
      <w:r>
        <w:rPr>
          <w:rFonts w:hint="eastAsia"/>
        </w:rPr>
        <w:t>。</w:t>
      </w:r>
    </w:p>
    <w:p w:rsidR="001D2B0D" w:rsidRPr="001B42EE" w:rsidRDefault="00AE2FDD" w:rsidP="001D2B0D">
      <w:pPr>
        <w:ind w:firstLineChars="100" w:firstLine="210"/>
      </w:pPr>
      <w:r>
        <w:rPr>
          <w:rFonts w:hint="eastAsia"/>
        </w:rPr>
        <w:t>ここでは、</w:t>
      </w:r>
      <w:r w:rsidR="002E4C87">
        <w:rPr>
          <w:rFonts w:hint="eastAsia"/>
        </w:rPr>
        <w:t>外国金融機関のモロッコにおける</w:t>
      </w:r>
      <w:r w:rsidR="00591048">
        <w:rPr>
          <w:rFonts w:hint="eastAsia"/>
        </w:rPr>
        <w:t>金融</w:t>
      </w:r>
      <w:r w:rsidR="00591048">
        <w:rPr>
          <w:rFonts w:hint="eastAsia"/>
        </w:rPr>
        <w:t>FDI</w:t>
      </w:r>
      <w:r w:rsidR="002E4C87">
        <w:rPr>
          <w:rFonts w:hint="eastAsia"/>
        </w:rPr>
        <w:t>の特徴</w:t>
      </w:r>
      <w:r w:rsidR="0095382A">
        <w:rPr>
          <w:rFonts w:hint="eastAsia"/>
        </w:rPr>
        <w:t>を捕捉</w:t>
      </w:r>
      <w:r w:rsidR="00591048">
        <w:rPr>
          <w:rFonts w:hint="eastAsia"/>
        </w:rPr>
        <w:t>するため、国際決済銀行</w:t>
      </w:r>
      <w:r w:rsidR="00591048">
        <w:rPr>
          <w:rFonts w:hint="eastAsia"/>
        </w:rPr>
        <w:t>(Bank for Interna</w:t>
      </w:r>
      <w:r w:rsidR="002E4C87">
        <w:rPr>
          <w:rFonts w:hint="eastAsia"/>
        </w:rPr>
        <w:t>tional Se</w:t>
      </w:r>
      <w:r w:rsidR="00591048">
        <w:rPr>
          <w:rFonts w:hint="eastAsia"/>
        </w:rPr>
        <w:t>ttlements</w:t>
      </w:r>
      <w:r w:rsidR="00591048">
        <w:rPr>
          <w:rFonts w:hint="eastAsia"/>
        </w:rPr>
        <w:t>；</w:t>
      </w:r>
      <w:r w:rsidR="00591048">
        <w:rPr>
          <w:rFonts w:hint="eastAsia"/>
        </w:rPr>
        <w:t>BIS)</w:t>
      </w:r>
      <w:r w:rsidR="00591048">
        <w:rPr>
          <w:rFonts w:hint="eastAsia"/>
        </w:rPr>
        <w:t>の</w:t>
      </w:r>
      <w:r>
        <w:rPr>
          <w:rFonts w:hint="eastAsia"/>
        </w:rPr>
        <w:t>国際与信統計</w:t>
      </w:r>
      <w:r>
        <w:rPr>
          <w:rFonts w:hint="eastAsia"/>
        </w:rPr>
        <w:t>(International Banking Statistics)</w:t>
      </w:r>
      <w:r>
        <w:rPr>
          <w:rFonts w:hint="eastAsia"/>
        </w:rPr>
        <w:t>を用い</w:t>
      </w:r>
      <w:r w:rsidR="0095382A">
        <w:rPr>
          <w:rFonts w:hint="eastAsia"/>
        </w:rPr>
        <w:t>る</w:t>
      </w:r>
      <w:r>
        <w:rPr>
          <w:rStyle w:val="ac"/>
        </w:rPr>
        <w:footnoteReference w:id="22"/>
      </w:r>
      <w:r>
        <w:rPr>
          <w:rFonts w:hint="eastAsia"/>
        </w:rPr>
        <w:t>。</w:t>
      </w:r>
      <w:r w:rsidR="002E4C87">
        <w:rPr>
          <w:rFonts w:hint="eastAsia"/>
        </w:rPr>
        <w:t>BIS</w:t>
      </w:r>
      <w:r w:rsidR="002E4C87">
        <w:rPr>
          <w:rFonts w:hint="eastAsia"/>
        </w:rPr>
        <w:t>の国際与信統計では、銀行の対外債権を、①国際債権</w:t>
      </w:r>
      <w:r w:rsidR="002E4C87">
        <w:rPr>
          <w:rFonts w:hint="eastAsia"/>
        </w:rPr>
        <w:t>(Internat</w:t>
      </w:r>
      <w:r w:rsidR="002C7CCC">
        <w:rPr>
          <w:rFonts w:hint="eastAsia"/>
        </w:rPr>
        <w:t>ional c</w:t>
      </w:r>
      <w:r w:rsidR="002E4C87">
        <w:rPr>
          <w:rFonts w:hint="eastAsia"/>
        </w:rPr>
        <w:t>laims)</w:t>
      </w:r>
      <w:r w:rsidR="002E4C87">
        <w:rPr>
          <w:rFonts w:hint="eastAsia"/>
        </w:rPr>
        <w:t>、②外国銀行の支店・現地法人による現地通貨建て現地債権</w:t>
      </w:r>
      <w:r w:rsidR="002E4C87">
        <w:rPr>
          <w:rFonts w:hint="eastAsia"/>
        </w:rPr>
        <w:t>(</w:t>
      </w:r>
      <w:r w:rsidR="002C7CCC">
        <w:rPr>
          <w:rFonts w:hint="eastAsia"/>
        </w:rPr>
        <w:t>Local c</w:t>
      </w:r>
      <w:r w:rsidR="002E4C87">
        <w:rPr>
          <w:rFonts w:hint="eastAsia"/>
        </w:rPr>
        <w:t xml:space="preserve">laims </w:t>
      </w:r>
      <w:r w:rsidR="002C7CCC">
        <w:rPr>
          <w:rFonts w:hint="eastAsia"/>
        </w:rPr>
        <w:t>of foreign a</w:t>
      </w:r>
      <w:r w:rsidR="002E4C87">
        <w:rPr>
          <w:rFonts w:hint="eastAsia"/>
        </w:rPr>
        <w:t xml:space="preserve">ffiliates in </w:t>
      </w:r>
      <w:r w:rsidR="002C7CCC">
        <w:rPr>
          <w:rFonts w:hint="eastAsia"/>
        </w:rPr>
        <w:t>l</w:t>
      </w:r>
      <w:r w:rsidR="002E4C87">
        <w:rPr>
          <w:rFonts w:hint="eastAsia"/>
        </w:rPr>
        <w:t>ocal</w:t>
      </w:r>
      <w:r w:rsidR="002C7CCC">
        <w:rPr>
          <w:rFonts w:hint="eastAsia"/>
        </w:rPr>
        <w:t xml:space="preserve"> c</w:t>
      </w:r>
      <w:r w:rsidR="002E4C87">
        <w:rPr>
          <w:rFonts w:hint="eastAsia"/>
        </w:rPr>
        <w:t>urrency)</w:t>
      </w:r>
      <w:r w:rsidR="002E4C87">
        <w:rPr>
          <w:rFonts w:hint="eastAsia"/>
        </w:rPr>
        <w:t>、③対外債権</w:t>
      </w:r>
      <w:r w:rsidR="002E4C87">
        <w:rPr>
          <w:rFonts w:hint="eastAsia"/>
        </w:rPr>
        <w:t>(</w:t>
      </w:r>
      <w:r w:rsidR="002C7CCC">
        <w:rPr>
          <w:rFonts w:hint="eastAsia"/>
        </w:rPr>
        <w:t>Foreign c</w:t>
      </w:r>
      <w:r w:rsidR="002E4C87">
        <w:rPr>
          <w:rFonts w:hint="eastAsia"/>
        </w:rPr>
        <w:t>laims)</w:t>
      </w:r>
      <w:r w:rsidR="002E4C87">
        <w:rPr>
          <w:rFonts w:hint="eastAsia"/>
        </w:rPr>
        <w:t>の</w:t>
      </w:r>
      <w:r w:rsidR="002E4C87">
        <w:rPr>
          <w:rFonts w:hint="eastAsia"/>
        </w:rPr>
        <w:t>3</w:t>
      </w:r>
      <w:r w:rsidR="002E4C87">
        <w:rPr>
          <w:rFonts w:hint="eastAsia"/>
        </w:rPr>
        <w:t>種類に分けている。このうち、</w:t>
      </w:r>
      <w:r w:rsidR="002C7CCC">
        <w:rPr>
          <w:rFonts w:hint="eastAsia"/>
        </w:rPr>
        <w:t>①の国際債権は、「クロスボーダー債権</w:t>
      </w:r>
      <w:r w:rsidR="002C7CCC">
        <w:rPr>
          <w:rFonts w:hint="eastAsia"/>
        </w:rPr>
        <w:t>(Cross-border claims)</w:t>
      </w:r>
      <w:r w:rsidR="002C7CCC">
        <w:rPr>
          <w:rFonts w:hint="eastAsia"/>
        </w:rPr>
        <w:t>」と「外貨建て現地債権</w:t>
      </w:r>
      <w:r w:rsidR="002E4C87">
        <w:rPr>
          <w:rFonts w:hint="eastAsia"/>
        </w:rPr>
        <w:t>(</w:t>
      </w:r>
      <w:r w:rsidR="002C7CCC">
        <w:rPr>
          <w:rFonts w:hint="eastAsia"/>
        </w:rPr>
        <w:t>Local claims of foreign affiliates in foreign c</w:t>
      </w:r>
      <w:r w:rsidR="002E4C87">
        <w:rPr>
          <w:rFonts w:hint="eastAsia"/>
        </w:rPr>
        <w:t>urrency)</w:t>
      </w:r>
      <w:r w:rsidR="002C7CCC">
        <w:rPr>
          <w:rFonts w:hint="eastAsia"/>
        </w:rPr>
        <w:t>」</w:t>
      </w:r>
      <w:r w:rsidR="00FF1359">
        <w:rPr>
          <w:rFonts w:hint="eastAsia"/>
        </w:rPr>
        <w:t>を合計したもの</w:t>
      </w:r>
      <w:r w:rsidR="002C7CCC">
        <w:rPr>
          <w:rFonts w:hint="eastAsia"/>
        </w:rPr>
        <w:t>である。</w:t>
      </w:r>
      <w:r w:rsidR="00FF1359">
        <w:rPr>
          <w:rFonts w:hint="eastAsia"/>
        </w:rPr>
        <w:t>これに、②外国銀行子会社の現地通貨建て現地債権を加えた数字が、③対外債権として表される</w:t>
      </w:r>
      <w:r w:rsidR="00FF1359">
        <w:rPr>
          <w:rStyle w:val="ac"/>
        </w:rPr>
        <w:footnoteReference w:id="23"/>
      </w:r>
      <w:r w:rsidR="00FF1359">
        <w:rPr>
          <w:rFonts w:hint="eastAsia"/>
        </w:rPr>
        <w:t>。すなわち、③対外債権と①国際債権との相違点は、多国籍金融機関が進出先でもつ現地通貨建て債権を</w:t>
      </w:r>
      <w:r w:rsidR="001B42EE">
        <w:rPr>
          <w:rFonts w:hint="eastAsia"/>
        </w:rPr>
        <w:t>算入</w:t>
      </w:r>
      <w:r w:rsidR="005B1CC0">
        <w:rPr>
          <w:rFonts w:hint="eastAsia"/>
        </w:rPr>
        <w:t>するかどうかである</w:t>
      </w:r>
      <w:r w:rsidR="005B1CC0">
        <w:rPr>
          <w:rStyle w:val="ac"/>
        </w:rPr>
        <w:footnoteReference w:id="24"/>
      </w:r>
      <w:r w:rsidR="005B1CC0">
        <w:rPr>
          <w:rFonts w:hint="eastAsia"/>
        </w:rPr>
        <w:t>。</w:t>
      </w:r>
      <w:r w:rsidR="001B42EE">
        <w:rPr>
          <w:rFonts w:hint="eastAsia"/>
        </w:rPr>
        <w:t>本稿では、③対外債権</w:t>
      </w:r>
      <w:r w:rsidR="001B42EE">
        <w:rPr>
          <w:rFonts w:hint="eastAsia"/>
        </w:rPr>
        <w:t>(=</w:t>
      </w:r>
      <w:r w:rsidR="001B42EE">
        <w:rPr>
          <w:rFonts w:hint="eastAsia"/>
        </w:rPr>
        <w:t>①国際債権＋②現地通貨建て現地債権</w:t>
      </w:r>
      <w:r w:rsidR="001B42EE">
        <w:rPr>
          <w:rFonts w:hint="eastAsia"/>
        </w:rPr>
        <w:t>)</w:t>
      </w:r>
      <w:r w:rsidR="001B42EE">
        <w:rPr>
          <w:rFonts w:hint="eastAsia"/>
        </w:rPr>
        <w:t>に占める、②現地通貨建て現地債権の比率</w:t>
      </w:r>
      <w:r w:rsidR="001B42EE">
        <w:rPr>
          <w:rFonts w:hint="eastAsia"/>
        </w:rPr>
        <w:t>(=</w:t>
      </w:r>
      <w:r w:rsidR="001B42EE">
        <w:rPr>
          <w:rFonts w:hint="eastAsia"/>
        </w:rPr>
        <w:t>②／</w:t>
      </w:r>
      <w:r w:rsidR="001B42EE">
        <w:rPr>
          <w:rFonts w:hint="eastAsia"/>
        </w:rPr>
        <w:t>(</w:t>
      </w:r>
      <w:r w:rsidR="001B42EE">
        <w:rPr>
          <w:rFonts w:hint="eastAsia"/>
        </w:rPr>
        <w:t>①＋②</w:t>
      </w:r>
      <w:r w:rsidR="001B42EE">
        <w:rPr>
          <w:rFonts w:hint="eastAsia"/>
        </w:rPr>
        <w:t>))</w:t>
      </w:r>
      <w:r w:rsidR="001B42EE">
        <w:rPr>
          <w:rFonts w:hint="eastAsia"/>
        </w:rPr>
        <w:t>を</w:t>
      </w:r>
      <w:r w:rsidR="001B42EE">
        <w:rPr>
          <w:rFonts w:hint="eastAsia"/>
        </w:rPr>
        <w:t>Global Banking</w:t>
      </w:r>
      <w:r w:rsidR="001B42EE">
        <w:rPr>
          <w:rFonts w:hint="eastAsia"/>
        </w:rPr>
        <w:t>の指標として用いることによって、金融</w:t>
      </w:r>
      <w:r w:rsidR="001B42EE">
        <w:rPr>
          <w:rFonts w:hint="eastAsia"/>
        </w:rPr>
        <w:t>FDI</w:t>
      </w:r>
      <w:r w:rsidR="001B42EE">
        <w:rPr>
          <w:rFonts w:hint="eastAsia"/>
        </w:rPr>
        <w:t>を通じた銀行業の現地化を示</w:t>
      </w:r>
      <w:r w:rsidR="001B42EE">
        <w:rPr>
          <w:rFonts w:hint="eastAsia"/>
        </w:rPr>
        <w:lastRenderedPageBreak/>
        <w:t>す基本指標として表すことにしたい。</w:t>
      </w:r>
      <w:r w:rsidR="00274D2A">
        <w:rPr>
          <w:rFonts w:hint="eastAsia"/>
        </w:rPr>
        <w:t>川本</w:t>
      </w:r>
      <w:r w:rsidR="009D1A97">
        <w:rPr>
          <w:rFonts w:hint="eastAsia"/>
        </w:rPr>
        <w:t>・小山</w:t>
      </w:r>
      <w:r w:rsidR="00274D2A">
        <w:rPr>
          <w:rFonts w:hint="eastAsia"/>
        </w:rPr>
        <w:t>(2006)</w:t>
      </w:r>
      <w:r w:rsidR="00274D2A">
        <w:rPr>
          <w:rFonts w:hint="eastAsia"/>
        </w:rPr>
        <w:t>によれば、</w:t>
      </w:r>
      <w:r w:rsidR="009D1A97">
        <w:rPr>
          <w:rFonts w:hint="eastAsia"/>
        </w:rPr>
        <w:t>Global Banking</w:t>
      </w:r>
      <w:r w:rsidR="009D1A97">
        <w:rPr>
          <w:rFonts w:hint="eastAsia"/>
        </w:rPr>
        <w:t>は進出した多国籍銀行による現地での預金をベースにした貸付形態をとる。</w:t>
      </w:r>
      <w:r w:rsidR="001D2B0D">
        <w:rPr>
          <w:rFonts w:hint="eastAsia"/>
        </w:rPr>
        <w:t>BIS</w:t>
      </w:r>
      <w:r w:rsidR="009A1789">
        <w:rPr>
          <w:rFonts w:hint="eastAsia"/>
        </w:rPr>
        <w:t>統計では従来、</w:t>
      </w:r>
      <w:r w:rsidR="004C1210">
        <w:rPr>
          <w:rFonts w:hint="eastAsia"/>
        </w:rPr>
        <w:t>クロスボーダー貸付が国際金融業務の中心であったため、①国際債権は国際金融取引において高い比率を占めていたが、外資銀行による現地リテール業務の進展により外国銀行が所有する②現地通貨建て現地債権が①国際債権と比べて相対的に増加するという結果が</w:t>
      </w:r>
      <w:r w:rsidR="001D2B0D">
        <w:rPr>
          <w:rFonts w:hint="eastAsia"/>
        </w:rPr>
        <w:t>現れている</w:t>
      </w:r>
      <w:r w:rsidR="001D2B0D">
        <w:rPr>
          <w:rStyle w:val="ac"/>
        </w:rPr>
        <w:footnoteReference w:id="25"/>
      </w:r>
      <w:r w:rsidR="004C1210">
        <w:rPr>
          <w:rFonts w:hint="eastAsia"/>
        </w:rPr>
        <w:t>。</w:t>
      </w:r>
      <w:r w:rsidR="001D2B0D">
        <w:rPr>
          <w:rFonts w:hint="eastAsia"/>
        </w:rPr>
        <w:t>外国銀行の進出先</w:t>
      </w:r>
      <w:r w:rsidR="001D2B0D">
        <w:rPr>
          <w:rFonts w:hint="eastAsia"/>
        </w:rPr>
        <w:t>(</w:t>
      </w:r>
      <w:r w:rsidR="00AD02BC">
        <w:rPr>
          <w:rFonts w:hint="eastAsia"/>
        </w:rPr>
        <w:t>投資国</w:t>
      </w:r>
      <w:r w:rsidR="001D2B0D">
        <w:rPr>
          <w:rFonts w:hint="eastAsia"/>
        </w:rPr>
        <w:t>)</w:t>
      </w:r>
      <w:r w:rsidR="001D2B0D">
        <w:rPr>
          <w:rFonts w:hint="eastAsia"/>
        </w:rPr>
        <w:t>の現地通貨建て現地債権の</w:t>
      </w:r>
      <w:r w:rsidR="00AD02BC">
        <w:rPr>
          <w:rFonts w:hint="eastAsia"/>
        </w:rPr>
        <w:t>著増</w:t>
      </w:r>
      <w:r w:rsidR="001D2B0D">
        <w:rPr>
          <w:rFonts w:hint="eastAsia"/>
        </w:rPr>
        <w:t>を確認することができれば、多国籍銀行業務の現地化</w:t>
      </w:r>
      <w:r w:rsidR="00AD02BC">
        <w:rPr>
          <w:rFonts w:hint="eastAsia"/>
        </w:rPr>
        <w:t>の</w:t>
      </w:r>
      <w:r w:rsidR="001D2B0D">
        <w:rPr>
          <w:rFonts w:hint="eastAsia"/>
        </w:rPr>
        <w:t>進展</w:t>
      </w:r>
      <w:r w:rsidR="00AD02BC">
        <w:rPr>
          <w:rFonts w:hint="eastAsia"/>
        </w:rPr>
        <w:t>を捉えることができる</w:t>
      </w:r>
      <w:r w:rsidR="001D2B0D">
        <w:rPr>
          <w:rFonts w:hint="eastAsia"/>
        </w:rPr>
        <w:t>。</w:t>
      </w:r>
    </w:p>
    <w:p w:rsidR="00C42D4C" w:rsidRPr="00BE21AF" w:rsidRDefault="00C42D4C" w:rsidP="009D7802"/>
    <w:p w:rsidR="007B3C57" w:rsidRPr="002C7CCC" w:rsidRDefault="00C80B55" w:rsidP="00FF1359">
      <w:pPr>
        <w:ind w:firstLineChars="100" w:firstLine="210"/>
        <w:jc w:val="center"/>
      </w:pPr>
      <w:r w:rsidRPr="00603FF2">
        <w:rPr>
          <w:rFonts w:hint="eastAsia"/>
          <w:szCs w:val="21"/>
        </w:rPr>
        <w:t>図表</w:t>
      </w:r>
      <w:r w:rsidR="005A2A73">
        <w:rPr>
          <w:rFonts w:hint="eastAsia"/>
          <w:szCs w:val="21"/>
        </w:rPr>
        <w:t>3</w:t>
      </w:r>
      <w:r>
        <w:rPr>
          <w:rFonts w:hint="eastAsia"/>
          <w:szCs w:val="21"/>
        </w:rPr>
        <w:t xml:space="preserve">　</w:t>
      </w:r>
      <w:r w:rsidR="00E40175" w:rsidRPr="00C80B55">
        <w:rPr>
          <w:rFonts w:hint="eastAsia"/>
          <w:szCs w:val="21"/>
        </w:rPr>
        <w:t>マグレブ諸国・エジプトの国際債権と現地通貨建て現地債権の推移</w:t>
      </w:r>
    </w:p>
    <w:p w:rsidR="00E40175" w:rsidRPr="005A2A73" w:rsidRDefault="00E40175" w:rsidP="00E40175">
      <w:pPr>
        <w:jc w:val="center"/>
      </w:pPr>
    </w:p>
    <w:p w:rsidR="00E40175" w:rsidRPr="00E40175" w:rsidRDefault="00E40175" w:rsidP="00E40175">
      <w:pPr>
        <w:spacing w:line="240" w:lineRule="exact"/>
        <w:jc w:val="right"/>
        <w:rPr>
          <w:sz w:val="16"/>
          <w:szCs w:val="16"/>
        </w:rPr>
      </w:pPr>
      <w:r>
        <w:rPr>
          <w:rFonts w:hint="eastAsia"/>
          <w:sz w:val="16"/>
          <w:szCs w:val="16"/>
        </w:rPr>
        <w:t>単位：百万ドル</w:t>
      </w:r>
    </w:p>
    <w:p w:rsidR="00E40175" w:rsidRDefault="00E40175" w:rsidP="00E40175">
      <w:r w:rsidRPr="00E40175">
        <w:rPr>
          <w:noProof/>
        </w:rPr>
        <w:drawing>
          <wp:inline distT="0" distB="0" distL="0" distR="0" wp14:anchorId="6B0157CA" wp14:editId="2D91C025">
            <wp:extent cx="5502021" cy="41400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2021" cy="4140000"/>
                    </a:xfrm>
                    <a:prstGeom prst="rect">
                      <a:avLst/>
                    </a:prstGeom>
                    <a:noFill/>
                    <a:ln>
                      <a:noFill/>
                    </a:ln>
                  </pic:spPr>
                </pic:pic>
              </a:graphicData>
            </a:graphic>
          </wp:inline>
        </w:drawing>
      </w:r>
    </w:p>
    <w:p w:rsidR="00E40175" w:rsidRPr="002274A4" w:rsidRDefault="00E40175" w:rsidP="00E40175">
      <w:pPr>
        <w:rPr>
          <w:sz w:val="18"/>
          <w:szCs w:val="18"/>
        </w:rPr>
      </w:pPr>
      <w:r>
        <w:rPr>
          <w:rFonts w:hint="eastAsia"/>
        </w:rPr>
        <w:t xml:space="preserve">　</w:t>
      </w:r>
      <w:r w:rsidRPr="002274A4">
        <w:rPr>
          <w:rFonts w:hint="eastAsia"/>
          <w:sz w:val="18"/>
          <w:szCs w:val="18"/>
        </w:rPr>
        <w:t>出所：</w:t>
      </w:r>
      <w:r w:rsidRPr="002274A4">
        <w:rPr>
          <w:rFonts w:hint="eastAsia"/>
          <w:sz w:val="18"/>
          <w:szCs w:val="18"/>
        </w:rPr>
        <w:t xml:space="preserve">BIS, </w:t>
      </w:r>
      <w:r w:rsidRPr="002274A4">
        <w:rPr>
          <w:rFonts w:hint="eastAsia"/>
          <w:i/>
          <w:sz w:val="18"/>
          <w:szCs w:val="18"/>
        </w:rPr>
        <w:t>Quarterly Review Statistical Annex 9A</w:t>
      </w:r>
      <w:r w:rsidRPr="002274A4">
        <w:rPr>
          <w:rFonts w:hint="eastAsia"/>
          <w:sz w:val="18"/>
          <w:szCs w:val="18"/>
        </w:rPr>
        <w:t>, various issues</w:t>
      </w:r>
      <w:r w:rsidR="00FF581C" w:rsidRPr="002274A4">
        <w:rPr>
          <w:rFonts w:hint="eastAsia"/>
          <w:sz w:val="18"/>
          <w:szCs w:val="18"/>
        </w:rPr>
        <w:t>より筆</w:t>
      </w:r>
      <w:r w:rsidRPr="002274A4">
        <w:rPr>
          <w:rFonts w:hint="eastAsia"/>
          <w:sz w:val="18"/>
          <w:szCs w:val="18"/>
        </w:rPr>
        <w:t>者作成。</w:t>
      </w:r>
    </w:p>
    <w:p w:rsidR="00E40175" w:rsidRPr="009A1789" w:rsidRDefault="00E40175" w:rsidP="009A1789">
      <w:pPr>
        <w:widowControl/>
        <w:jc w:val="left"/>
      </w:pPr>
      <w:r>
        <w:br w:type="page"/>
      </w:r>
    </w:p>
    <w:p w:rsidR="009D7802" w:rsidRDefault="009D7802" w:rsidP="009D7802">
      <w:pPr>
        <w:ind w:firstLineChars="100" w:firstLine="210"/>
        <w:jc w:val="left"/>
      </w:pPr>
      <w:r w:rsidRPr="009D1A97">
        <w:rPr>
          <w:rFonts w:hint="eastAsia"/>
        </w:rPr>
        <w:lastRenderedPageBreak/>
        <w:t>図表</w:t>
      </w:r>
      <w:r w:rsidRPr="009D1A97">
        <w:rPr>
          <w:rFonts w:hint="eastAsia"/>
        </w:rPr>
        <w:t>3</w:t>
      </w:r>
      <w:r>
        <w:rPr>
          <w:rFonts w:hint="eastAsia"/>
        </w:rPr>
        <w:t>は、南地中海地域における</w:t>
      </w:r>
      <w:r>
        <w:rPr>
          <w:rFonts w:hint="eastAsia"/>
        </w:rPr>
        <w:t>Global Banking</w:t>
      </w:r>
      <w:r>
        <w:rPr>
          <w:rFonts w:hint="eastAsia"/>
        </w:rPr>
        <w:t>の指標を示したものである。</w:t>
      </w:r>
      <w:r>
        <w:rPr>
          <w:rFonts w:hint="eastAsia"/>
        </w:rPr>
        <w:t>2000</w:t>
      </w:r>
      <w:r>
        <w:rPr>
          <w:rFonts w:hint="eastAsia"/>
        </w:rPr>
        <w:t>年代、すべての国で</w:t>
      </w:r>
      <w:r>
        <w:rPr>
          <w:rFonts w:hint="eastAsia"/>
        </w:rPr>
        <w:t>Global Banking</w:t>
      </w:r>
      <w:r>
        <w:rPr>
          <w:rFonts w:hint="eastAsia"/>
        </w:rPr>
        <w:t>比率の上昇を見て取れる</w:t>
      </w:r>
      <w:r>
        <w:rPr>
          <w:rFonts w:hint="eastAsia"/>
        </w:rPr>
        <w:t>(</w:t>
      </w:r>
      <w:r>
        <w:rPr>
          <w:rFonts w:hint="eastAsia"/>
        </w:rPr>
        <w:t>図表</w:t>
      </w:r>
      <w:r>
        <w:rPr>
          <w:rFonts w:hint="eastAsia"/>
        </w:rPr>
        <w:t>4)</w:t>
      </w:r>
      <w:r>
        <w:rPr>
          <w:rFonts w:hint="eastAsia"/>
        </w:rPr>
        <w:t>。とりわけ、モロッコにおいて当該比率の増加が著しく、</w:t>
      </w:r>
      <w:r>
        <w:rPr>
          <w:rFonts w:hint="eastAsia"/>
        </w:rPr>
        <w:t>2005</w:t>
      </w:r>
      <w:r>
        <w:rPr>
          <w:rFonts w:hint="eastAsia"/>
        </w:rPr>
        <w:t>年に</w:t>
      </w:r>
      <w:r>
        <w:rPr>
          <w:rFonts w:hint="eastAsia"/>
        </w:rPr>
        <w:t>0.6</w:t>
      </w:r>
      <w:r>
        <w:rPr>
          <w:rFonts w:hint="eastAsia"/>
        </w:rPr>
        <w:t>を超え、</w:t>
      </w:r>
      <w:r>
        <w:rPr>
          <w:rFonts w:hint="eastAsia"/>
        </w:rPr>
        <w:t>2010</w:t>
      </w:r>
      <w:r>
        <w:rPr>
          <w:rFonts w:hint="eastAsia"/>
        </w:rPr>
        <w:t>年には</w:t>
      </w:r>
      <w:r>
        <w:rPr>
          <w:rFonts w:hint="eastAsia"/>
        </w:rPr>
        <w:t>0.73</w:t>
      </w:r>
      <w:r>
        <w:rPr>
          <w:rFonts w:hint="eastAsia"/>
        </w:rPr>
        <w:t>に達している。また、同国の現地通貨建て現地債権は</w:t>
      </w:r>
      <w:r>
        <w:rPr>
          <w:rFonts w:hint="eastAsia"/>
        </w:rPr>
        <w:t>98</w:t>
      </w:r>
      <w:r>
        <w:rPr>
          <w:rFonts w:hint="eastAsia"/>
        </w:rPr>
        <w:t>年から</w:t>
      </w:r>
      <w:r>
        <w:rPr>
          <w:rFonts w:hint="eastAsia"/>
        </w:rPr>
        <w:t>2010</w:t>
      </w:r>
      <w:r>
        <w:rPr>
          <w:rFonts w:hint="eastAsia"/>
        </w:rPr>
        <w:t>年にかけてコンスタントに上昇を続けており、統計上では既にグローバル・バンキングの形態をとっていることが分かる。他方、エジプトでは国際銀行業の活動形態が依然として</w:t>
      </w:r>
      <w:r>
        <w:rPr>
          <w:rFonts w:hint="eastAsia"/>
        </w:rPr>
        <w:t>International Banking</w:t>
      </w:r>
      <w:r>
        <w:rPr>
          <w:rFonts w:hint="eastAsia"/>
        </w:rPr>
        <w:t>となっている。現地通貨建て現地債権が大きく増加しているにもかかわらず、その比率は</w:t>
      </w:r>
      <w:r>
        <w:rPr>
          <w:rFonts w:hint="eastAsia"/>
        </w:rPr>
        <w:t>2010</w:t>
      </w:r>
      <w:r>
        <w:rPr>
          <w:rFonts w:hint="eastAsia"/>
        </w:rPr>
        <w:t>年時点で最大</w:t>
      </w:r>
      <w:r>
        <w:rPr>
          <w:rFonts w:hint="eastAsia"/>
        </w:rPr>
        <w:t>0.5</w:t>
      </w:r>
      <w:r>
        <w:rPr>
          <w:rFonts w:hint="eastAsia"/>
        </w:rPr>
        <w:t>である。また、チュニジアの場合、商業銀行は</w:t>
      </w:r>
      <w:r>
        <w:rPr>
          <w:rFonts w:hint="eastAsia"/>
        </w:rPr>
        <w:t>20</w:t>
      </w:r>
      <w:r>
        <w:rPr>
          <w:rFonts w:hint="eastAsia"/>
        </w:rPr>
        <w:t>行、オフショア投資銀行は</w:t>
      </w:r>
      <w:r>
        <w:rPr>
          <w:rFonts w:hint="eastAsia"/>
        </w:rPr>
        <w:t>18</w:t>
      </w:r>
      <w:r>
        <w:rPr>
          <w:rFonts w:hint="eastAsia"/>
        </w:rPr>
        <w:t>行、外国銀行は</w:t>
      </w:r>
      <w:r>
        <w:rPr>
          <w:rFonts w:hint="eastAsia"/>
        </w:rPr>
        <w:t>9</w:t>
      </w:r>
      <w:r>
        <w:rPr>
          <w:rFonts w:hint="eastAsia"/>
        </w:rPr>
        <w:t>行あるが、国有の</w:t>
      </w:r>
      <w:proofErr w:type="spellStart"/>
      <w:r>
        <w:rPr>
          <w:rFonts w:hint="eastAsia"/>
        </w:rPr>
        <w:t>Sosiété</w:t>
      </w:r>
      <w:proofErr w:type="spellEnd"/>
      <w:r>
        <w:rPr>
          <w:rFonts w:hint="eastAsia"/>
        </w:rPr>
        <w:t xml:space="preserve"> </w:t>
      </w:r>
      <w:proofErr w:type="spellStart"/>
      <w:r>
        <w:rPr>
          <w:rFonts w:hint="eastAsia"/>
        </w:rPr>
        <w:t>Tunisie</w:t>
      </w:r>
      <w:proofErr w:type="spellEnd"/>
      <w:r>
        <w:rPr>
          <w:rFonts w:hint="eastAsia"/>
        </w:rPr>
        <w:t xml:space="preserve"> de </w:t>
      </w:r>
      <w:proofErr w:type="spellStart"/>
      <w:r>
        <w:rPr>
          <w:rFonts w:hint="eastAsia"/>
        </w:rPr>
        <w:t>Banque</w:t>
      </w:r>
      <w:proofErr w:type="spellEnd"/>
      <w:r>
        <w:rPr>
          <w:rFonts w:hint="eastAsia"/>
        </w:rPr>
        <w:t>と</w:t>
      </w:r>
      <w:proofErr w:type="spellStart"/>
      <w:r>
        <w:rPr>
          <w:rFonts w:hint="eastAsia"/>
        </w:rPr>
        <w:t>Banque</w:t>
      </w:r>
      <w:proofErr w:type="spellEnd"/>
      <w:r>
        <w:rPr>
          <w:rFonts w:hint="eastAsia"/>
        </w:rPr>
        <w:t xml:space="preserve"> de </w:t>
      </w:r>
      <w:proofErr w:type="spellStart"/>
      <w:r>
        <w:rPr>
          <w:rFonts w:hint="eastAsia"/>
        </w:rPr>
        <w:t>l</w:t>
      </w:r>
      <w:r>
        <w:t>’</w:t>
      </w:r>
      <w:r>
        <w:rPr>
          <w:rFonts w:hint="eastAsia"/>
        </w:rPr>
        <w:t>Habitat</w:t>
      </w:r>
      <w:proofErr w:type="spellEnd"/>
      <w:r>
        <w:rPr>
          <w:rFonts w:hint="eastAsia"/>
        </w:rPr>
        <w:t>の</w:t>
      </w:r>
      <w:r>
        <w:rPr>
          <w:rFonts w:hint="eastAsia"/>
        </w:rPr>
        <w:t>2</w:t>
      </w:r>
      <w:r>
        <w:rPr>
          <w:rFonts w:hint="eastAsia"/>
        </w:rPr>
        <w:t>行が金融セクターを独占している。外国銀行の現地展開が未だ進展しておらず、他の南地中海諸国に比べて金融セクターの改革で遅れをとっている</w:t>
      </w:r>
      <w:r>
        <w:rPr>
          <w:rStyle w:val="ac"/>
        </w:rPr>
        <w:footnoteReference w:id="26"/>
      </w:r>
      <w:r>
        <w:rPr>
          <w:rFonts w:hint="eastAsia"/>
        </w:rPr>
        <w:t>。国際債権や現地通貨建て現地債権は緩やかに上昇しつつあるものの、</w:t>
      </w:r>
      <w:r>
        <w:rPr>
          <w:rFonts w:hint="eastAsia"/>
        </w:rPr>
        <w:t>2000</w:t>
      </w:r>
      <w:r>
        <w:rPr>
          <w:rFonts w:hint="eastAsia"/>
        </w:rPr>
        <w:t>年代に入ってからも</w:t>
      </w:r>
      <w:r>
        <w:rPr>
          <w:rFonts w:hint="eastAsia"/>
        </w:rPr>
        <w:t>0.2</w:t>
      </w:r>
      <w:r>
        <w:rPr>
          <w:rFonts w:hint="eastAsia"/>
        </w:rPr>
        <w:t>から</w:t>
      </w:r>
      <w:r>
        <w:rPr>
          <w:rFonts w:hint="eastAsia"/>
        </w:rPr>
        <w:t>0.5</w:t>
      </w:r>
      <w:r>
        <w:rPr>
          <w:rFonts w:hint="eastAsia"/>
        </w:rPr>
        <w:t>の間で推移していることが分かる。</w:t>
      </w:r>
    </w:p>
    <w:p w:rsidR="009D7802" w:rsidRDefault="009D7802" w:rsidP="009D7802">
      <w:pPr>
        <w:ind w:firstLineChars="100" w:firstLine="210"/>
        <w:jc w:val="left"/>
      </w:pPr>
    </w:p>
    <w:p w:rsidR="00E40175" w:rsidRPr="00C80B55" w:rsidRDefault="005A2A73" w:rsidP="00E40175">
      <w:pPr>
        <w:jc w:val="center"/>
      </w:pPr>
      <w:r>
        <w:rPr>
          <w:rFonts w:hint="eastAsia"/>
        </w:rPr>
        <w:t>図表</w:t>
      </w:r>
      <w:r>
        <w:rPr>
          <w:rFonts w:hint="eastAsia"/>
        </w:rPr>
        <w:t>4</w:t>
      </w:r>
      <w:r w:rsidR="00C80B55">
        <w:rPr>
          <w:rFonts w:hint="eastAsia"/>
        </w:rPr>
        <w:t xml:space="preserve">　</w:t>
      </w:r>
      <w:r w:rsidR="00E40175" w:rsidRPr="00C80B55">
        <w:rPr>
          <w:rFonts w:hint="eastAsia"/>
        </w:rPr>
        <w:t>国際債権に対する外国銀行の現地通貨建て現地債権の推移</w:t>
      </w:r>
      <w:r w:rsidR="00E40175" w:rsidRPr="00C80B55">
        <w:rPr>
          <w:rFonts w:hint="eastAsia"/>
        </w:rPr>
        <w:t xml:space="preserve"> </w:t>
      </w:r>
    </w:p>
    <w:p w:rsidR="00E40175" w:rsidRDefault="00E40175" w:rsidP="00E40175">
      <w:pPr>
        <w:jc w:val="center"/>
      </w:pPr>
      <w:r w:rsidRPr="00E40175">
        <w:rPr>
          <w:noProof/>
        </w:rPr>
        <w:drawing>
          <wp:inline distT="0" distB="0" distL="0" distR="0" wp14:anchorId="4B850450" wp14:editId="490345BB">
            <wp:extent cx="5937119" cy="3409950"/>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2901" cy="3413271"/>
                    </a:xfrm>
                    <a:prstGeom prst="rect">
                      <a:avLst/>
                    </a:prstGeom>
                    <a:noFill/>
                    <a:ln>
                      <a:noFill/>
                    </a:ln>
                  </pic:spPr>
                </pic:pic>
              </a:graphicData>
            </a:graphic>
          </wp:inline>
        </w:drawing>
      </w:r>
    </w:p>
    <w:p w:rsidR="00226B90" w:rsidRDefault="00E40175" w:rsidP="003D1567">
      <w:pPr>
        <w:spacing w:line="240" w:lineRule="exact"/>
        <w:ind w:left="1155" w:hangingChars="550" w:hanging="1155"/>
        <w:jc w:val="left"/>
        <w:rPr>
          <w:sz w:val="18"/>
          <w:szCs w:val="18"/>
        </w:rPr>
      </w:pPr>
      <w:r>
        <w:rPr>
          <w:rFonts w:hint="eastAsia"/>
        </w:rPr>
        <w:t xml:space="preserve">      </w:t>
      </w:r>
      <w:r w:rsidRPr="002274A4">
        <w:rPr>
          <w:rFonts w:hint="eastAsia"/>
          <w:sz w:val="18"/>
          <w:szCs w:val="18"/>
        </w:rPr>
        <w:t>出所：</w:t>
      </w:r>
      <w:r w:rsidRPr="002274A4">
        <w:rPr>
          <w:rFonts w:hint="eastAsia"/>
          <w:sz w:val="18"/>
          <w:szCs w:val="18"/>
        </w:rPr>
        <w:t xml:space="preserve">BIS, </w:t>
      </w:r>
      <w:r w:rsidRPr="002274A4">
        <w:rPr>
          <w:rFonts w:hint="eastAsia"/>
          <w:i/>
          <w:sz w:val="18"/>
          <w:szCs w:val="18"/>
        </w:rPr>
        <w:t>Quarterly Review Statistical Annex 9A</w:t>
      </w:r>
      <w:r w:rsidRPr="002274A4">
        <w:rPr>
          <w:rFonts w:hint="eastAsia"/>
          <w:sz w:val="18"/>
          <w:szCs w:val="18"/>
        </w:rPr>
        <w:t>, various issues</w:t>
      </w:r>
      <w:r w:rsidR="00FF581C" w:rsidRPr="002274A4">
        <w:rPr>
          <w:rFonts w:hint="eastAsia"/>
          <w:sz w:val="18"/>
          <w:szCs w:val="18"/>
        </w:rPr>
        <w:t>より筆</w:t>
      </w:r>
      <w:r w:rsidRPr="002274A4">
        <w:rPr>
          <w:rFonts w:hint="eastAsia"/>
          <w:sz w:val="18"/>
          <w:szCs w:val="18"/>
        </w:rPr>
        <w:t>者作成。</w:t>
      </w:r>
    </w:p>
    <w:p w:rsidR="00E40175" w:rsidRPr="002274A4" w:rsidRDefault="003D1567" w:rsidP="00226B90">
      <w:pPr>
        <w:spacing w:line="240" w:lineRule="exact"/>
        <w:ind w:leftChars="473" w:left="993" w:firstLineChars="50" w:firstLine="90"/>
        <w:jc w:val="left"/>
        <w:rPr>
          <w:sz w:val="18"/>
          <w:szCs w:val="18"/>
        </w:rPr>
      </w:pPr>
      <w:r w:rsidRPr="002274A4">
        <w:rPr>
          <w:rFonts w:hint="eastAsia"/>
          <w:sz w:val="18"/>
          <w:szCs w:val="18"/>
        </w:rPr>
        <w:t>※対外債権全体に占める現地通貨建て現地債権の比率</w:t>
      </w:r>
    </w:p>
    <w:p w:rsidR="00603FF2" w:rsidRDefault="00603FF2" w:rsidP="003D1567">
      <w:pPr>
        <w:spacing w:line="240" w:lineRule="exact"/>
        <w:ind w:left="1155" w:hangingChars="550" w:hanging="1155"/>
        <w:jc w:val="left"/>
      </w:pPr>
    </w:p>
    <w:p w:rsidR="00673217" w:rsidRDefault="00673217" w:rsidP="003D1567">
      <w:pPr>
        <w:spacing w:line="240" w:lineRule="exact"/>
        <w:ind w:left="1155" w:hangingChars="550" w:hanging="1155"/>
        <w:jc w:val="left"/>
      </w:pPr>
    </w:p>
    <w:p w:rsidR="009D7802" w:rsidRDefault="009D7802" w:rsidP="003D1567">
      <w:pPr>
        <w:spacing w:line="240" w:lineRule="exact"/>
        <w:ind w:left="1155" w:hangingChars="550" w:hanging="1155"/>
        <w:jc w:val="left"/>
      </w:pPr>
    </w:p>
    <w:p w:rsidR="009D7802" w:rsidRDefault="009D7802" w:rsidP="009D7802">
      <w:pPr>
        <w:spacing w:line="240" w:lineRule="exact"/>
        <w:jc w:val="left"/>
      </w:pPr>
    </w:p>
    <w:p w:rsidR="009D7802" w:rsidRDefault="009D7802" w:rsidP="003D1567">
      <w:pPr>
        <w:spacing w:line="240" w:lineRule="exact"/>
        <w:ind w:left="1155" w:hangingChars="550" w:hanging="1155"/>
        <w:jc w:val="left"/>
      </w:pPr>
    </w:p>
    <w:p w:rsidR="00BA2C85" w:rsidRDefault="00603FF2" w:rsidP="00603FF2">
      <w:pPr>
        <w:widowControl/>
        <w:jc w:val="center"/>
      </w:pPr>
      <w:r>
        <w:rPr>
          <w:rFonts w:hint="eastAsia"/>
        </w:rPr>
        <w:lastRenderedPageBreak/>
        <w:t>図表</w:t>
      </w:r>
      <w:r>
        <w:rPr>
          <w:rFonts w:hint="eastAsia"/>
        </w:rPr>
        <w:t xml:space="preserve">5  </w:t>
      </w:r>
      <w:r>
        <w:rPr>
          <w:rFonts w:hint="eastAsia"/>
        </w:rPr>
        <w:t>モロッコの商業銀行に占める現地通貨建て現地債権の比率</w:t>
      </w:r>
    </w:p>
    <w:p w:rsidR="00940C1B" w:rsidRPr="00D67740" w:rsidRDefault="00940C1B" w:rsidP="00940C1B">
      <w:pPr>
        <w:widowControl/>
        <w:jc w:val="right"/>
        <w:rPr>
          <w:sz w:val="12"/>
          <w:szCs w:val="16"/>
        </w:rPr>
      </w:pPr>
      <w:r w:rsidRPr="00D67740">
        <w:rPr>
          <w:rFonts w:hint="eastAsia"/>
          <w:sz w:val="12"/>
          <w:szCs w:val="16"/>
        </w:rPr>
        <w:t>単位：百万ドル</w:t>
      </w:r>
    </w:p>
    <w:p w:rsidR="00FF581C" w:rsidRDefault="00603FF2" w:rsidP="00603FF2">
      <w:pPr>
        <w:widowControl/>
        <w:jc w:val="center"/>
      </w:pPr>
      <w:r w:rsidRPr="00603FF2">
        <w:rPr>
          <w:noProof/>
        </w:rPr>
        <w:drawing>
          <wp:inline distT="0" distB="0" distL="0" distR="0" wp14:anchorId="1D96FA84" wp14:editId="44155CCA">
            <wp:extent cx="5400675" cy="8477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847625"/>
                    </a:xfrm>
                    <a:prstGeom prst="rect">
                      <a:avLst/>
                    </a:prstGeom>
                    <a:noFill/>
                    <a:ln>
                      <a:noFill/>
                    </a:ln>
                  </pic:spPr>
                </pic:pic>
              </a:graphicData>
            </a:graphic>
          </wp:inline>
        </w:drawing>
      </w:r>
    </w:p>
    <w:p w:rsidR="00940C1B" w:rsidRPr="002274A4" w:rsidRDefault="00603FF2" w:rsidP="00940C1B">
      <w:pPr>
        <w:widowControl/>
        <w:spacing w:line="240" w:lineRule="exact"/>
        <w:jc w:val="left"/>
        <w:rPr>
          <w:sz w:val="18"/>
          <w:szCs w:val="18"/>
        </w:rPr>
      </w:pPr>
      <w:r w:rsidRPr="002274A4">
        <w:rPr>
          <w:rFonts w:hint="eastAsia"/>
          <w:sz w:val="18"/>
          <w:szCs w:val="18"/>
        </w:rPr>
        <w:t>出所：</w:t>
      </w:r>
      <w:r w:rsidRPr="002274A4">
        <w:rPr>
          <w:rFonts w:hint="eastAsia"/>
          <w:sz w:val="18"/>
          <w:szCs w:val="18"/>
        </w:rPr>
        <w:t>Bank Al-</w:t>
      </w:r>
      <w:proofErr w:type="spellStart"/>
      <w:r w:rsidRPr="002274A4">
        <w:rPr>
          <w:rFonts w:hint="eastAsia"/>
          <w:sz w:val="18"/>
          <w:szCs w:val="18"/>
        </w:rPr>
        <w:t>Magrib</w:t>
      </w:r>
      <w:proofErr w:type="spellEnd"/>
      <w:r w:rsidR="00940C1B" w:rsidRPr="002274A4">
        <w:rPr>
          <w:rFonts w:hint="eastAsia"/>
          <w:sz w:val="18"/>
          <w:szCs w:val="18"/>
        </w:rPr>
        <w:t xml:space="preserve">, </w:t>
      </w:r>
      <w:r w:rsidR="00940C1B" w:rsidRPr="002274A4">
        <w:rPr>
          <w:rFonts w:hint="eastAsia"/>
          <w:i/>
          <w:sz w:val="18"/>
          <w:szCs w:val="18"/>
        </w:rPr>
        <w:t xml:space="preserve">Rapport </w:t>
      </w:r>
      <w:proofErr w:type="spellStart"/>
      <w:r w:rsidR="00940C1B" w:rsidRPr="002274A4">
        <w:rPr>
          <w:rFonts w:hint="eastAsia"/>
          <w:i/>
          <w:sz w:val="18"/>
          <w:szCs w:val="18"/>
        </w:rPr>
        <w:t>Annuel</w:t>
      </w:r>
      <w:proofErr w:type="spellEnd"/>
      <w:r w:rsidR="00940C1B" w:rsidRPr="002274A4">
        <w:rPr>
          <w:rFonts w:hint="eastAsia"/>
          <w:sz w:val="18"/>
          <w:szCs w:val="18"/>
        </w:rPr>
        <w:t xml:space="preserve">, </w:t>
      </w:r>
      <w:proofErr w:type="spellStart"/>
      <w:r w:rsidR="00940C1B" w:rsidRPr="002274A4">
        <w:rPr>
          <w:sz w:val="18"/>
          <w:szCs w:val="18"/>
        </w:rPr>
        <w:t>plusieurs</w:t>
      </w:r>
      <w:proofErr w:type="spellEnd"/>
      <w:r w:rsidR="00940C1B" w:rsidRPr="002274A4">
        <w:rPr>
          <w:sz w:val="18"/>
          <w:szCs w:val="18"/>
        </w:rPr>
        <w:t xml:space="preserve"> </w:t>
      </w:r>
      <w:proofErr w:type="spellStart"/>
      <w:r w:rsidR="00940C1B" w:rsidRPr="002274A4">
        <w:rPr>
          <w:sz w:val="18"/>
          <w:szCs w:val="18"/>
        </w:rPr>
        <w:t>années</w:t>
      </w:r>
      <w:proofErr w:type="spellEnd"/>
      <w:r w:rsidR="00940C1B" w:rsidRPr="002274A4">
        <w:rPr>
          <w:rFonts w:hint="eastAsia"/>
          <w:sz w:val="18"/>
          <w:szCs w:val="18"/>
        </w:rPr>
        <w:t>および</w:t>
      </w:r>
      <w:r w:rsidR="00940C1B" w:rsidRPr="002274A4">
        <w:rPr>
          <w:rFonts w:hint="eastAsia"/>
          <w:sz w:val="18"/>
          <w:szCs w:val="18"/>
        </w:rPr>
        <w:t xml:space="preserve">BIS, </w:t>
      </w:r>
      <w:r w:rsidR="00940C1B" w:rsidRPr="002274A4">
        <w:rPr>
          <w:rFonts w:hint="eastAsia"/>
          <w:i/>
          <w:sz w:val="18"/>
          <w:szCs w:val="18"/>
        </w:rPr>
        <w:t>Quarterly Review Statistical Annex 9A</w:t>
      </w:r>
      <w:r w:rsidR="00940C1B" w:rsidRPr="002274A4">
        <w:rPr>
          <w:rFonts w:hint="eastAsia"/>
          <w:sz w:val="18"/>
          <w:szCs w:val="18"/>
        </w:rPr>
        <w:t>, various issues</w:t>
      </w:r>
      <w:r w:rsidR="00940C1B" w:rsidRPr="002274A4">
        <w:rPr>
          <w:rFonts w:hint="eastAsia"/>
          <w:sz w:val="18"/>
          <w:szCs w:val="18"/>
        </w:rPr>
        <w:t>より筆者作成。</w:t>
      </w:r>
      <w:r w:rsidR="00940C1B" w:rsidRPr="002274A4">
        <w:rPr>
          <w:rFonts w:hint="eastAsia"/>
          <w:sz w:val="18"/>
          <w:szCs w:val="18"/>
        </w:rPr>
        <w:t xml:space="preserve"> </w:t>
      </w:r>
    </w:p>
    <w:p w:rsidR="00940C1B" w:rsidRDefault="00940C1B" w:rsidP="00940C1B">
      <w:pPr>
        <w:widowControl/>
        <w:spacing w:line="240" w:lineRule="exact"/>
        <w:jc w:val="left"/>
        <w:rPr>
          <w:sz w:val="18"/>
        </w:rPr>
      </w:pPr>
    </w:p>
    <w:p w:rsidR="00424765" w:rsidRPr="003F4AA9" w:rsidRDefault="00424765" w:rsidP="00940C1B">
      <w:pPr>
        <w:widowControl/>
        <w:spacing w:line="240" w:lineRule="exact"/>
        <w:jc w:val="left"/>
        <w:rPr>
          <w:sz w:val="18"/>
        </w:rPr>
      </w:pPr>
    </w:p>
    <w:p w:rsidR="00EB113D" w:rsidRPr="00606014" w:rsidRDefault="00606014" w:rsidP="00150D1A">
      <w:pPr>
        <w:pStyle w:val="2"/>
        <w:numPr>
          <w:ilvl w:val="0"/>
          <w:numId w:val="10"/>
        </w:numPr>
      </w:pPr>
      <w:bookmarkStart w:id="12" w:name="_Toc302617246"/>
      <w:r>
        <w:rPr>
          <w:rFonts w:hint="eastAsia"/>
        </w:rPr>
        <w:t>モロッコの銀行セクター</w:t>
      </w:r>
      <w:r w:rsidR="00E54A3B">
        <w:rPr>
          <w:rFonts w:hint="eastAsia"/>
        </w:rPr>
        <w:t>の</w:t>
      </w:r>
      <w:r w:rsidR="00CD5D37">
        <w:rPr>
          <w:rFonts w:hint="eastAsia"/>
        </w:rPr>
        <w:t>所有</w:t>
      </w:r>
      <w:r w:rsidR="00E54A3B">
        <w:rPr>
          <w:rFonts w:hint="eastAsia"/>
        </w:rPr>
        <w:t>構造</w:t>
      </w:r>
      <w:r w:rsidR="00CD5D37">
        <w:rPr>
          <w:rFonts w:hint="eastAsia"/>
        </w:rPr>
        <w:t>の変化</w:t>
      </w:r>
      <w:bookmarkEnd w:id="12"/>
    </w:p>
    <w:p w:rsidR="00186350" w:rsidRDefault="00186350" w:rsidP="00CD5D37">
      <w:pPr>
        <w:ind w:firstLineChars="100" w:firstLine="210"/>
      </w:pPr>
      <w:r>
        <w:rPr>
          <w:rFonts w:hint="eastAsia"/>
        </w:rPr>
        <w:t>以上で見たような</w:t>
      </w:r>
      <w:r w:rsidRPr="00186350">
        <w:rPr>
          <w:rFonts w:hint="eastAsia"/>
        </w:rPr>
        <w:t>、</w:t>
      </w:r>
      <w:r>
        <w:rPr>
          <w:rFonts w:hint="eastAsia"/>
        </w:rPr>
        <w:t>いわゆる</w:t>
      </w:r>
      <w:r>
        <w:rPr>
          <w:rFonts w:hint="eastAsia"/>
        </w:rPr>
        <w:t>Global Banking</w:t>
      </w:r>
      <w:r>
        <w:rPr>
          <w:rFonts w:hint="eastAsia"/>
        </w:rPr>
        <w:t>比率が</w:t>
      </w:r>
      <w:r w:rsidRPr="00186350">
        <w:rPr>
          <w:rFonts w:hint="eastAsia"/>
        </w:rPr>
        <w:t>高い場合でも、当該国の銀行市場全体において</w:t>
      </w:r>
      <w:r>
        <w:rPr>
          <w:rFonts w:hint="eastAsia"/>
        </w:rPr>
        <w:t>外国銀行の現地通貨建て現地債権が占める割合が低い</w:t>
      </w:r>
      <w:r w:rsidR="009605DA">
        <w:rPr>
          <w:rFonts w:hint="eastAsia"/>
        </w:rPr>
        <w:t>場合は、外国銀行の参入の影響は相対的に小さい</w:t>
      </w:r>
      <w:r>
        <w:rPr>
          <w:rFonts w:hint="eastAsia"/>
        </w:rPr>
        <w:t>。</w:t>
      </w:r>
      <w:r w:rsidRPr="00186350">
        <w:rPr>
          <w:rFonts w:hint="eastAsia"/>
        </w:rPr>
        <w:t>モロッコでは、国内の商業銀行全体の資産に占める現地通貨建て現地債権の割合は約</w:t>
      </w:r>
      <w:r w:rsidRPr="00186350">
        <w:rPr>
          <w:rFonts w:hint="eastAsia"/>
        </w:rPr>
        <w:t>20%</w:t>
      </w:r>
      <w:r w:rsidRPr="00186350">
        <w:rPr>
          <w:rFonts w:hint="eastAsia"/>
        </w:rPr>
        <w:t>となっており、同国の商業銀行が本格的に</w:t>
      </w:r>
      <w:r w:rsidRPr="00186350">
        <w:rPr>
          <w:rFonts w:hint="eastAsia"/>
        </w:rPr>
        <w:t xml:space="preserve">Global </w:t>
      </w:r>
      <w:proofErr w:type="spellStart"/>
      <w:r w:rsidRPr="00186350">
        <w:rPr>
          <w:rFonts w:hint="eastAsia"/>
        </w:rPr>
        <w:t>Bnking</w:t>
      </w:r>
      <w:proofErr w:type="spellEnd"/>
      <w:r w:rsidRPr="00186350">
        <w:rPr>
          <w:rFonts w:hint="eastAsia"/>
        </w:rPr>
        <w:t>の形態をとっているとは言い難い</w:t>
      </w:r>
      <w:r w:rsidRPr="00186350">
        <w:rPr>
          <w:rFonts w:hint="eastAsia"/>
        </w:rPr>
        <w:t>(</w:t>
      </w:r>
      <w:r w:rsidRPr="00186350">
        <w:rPr>
          <w:rFonts w:hint="eastAsia"/>
        </w:rPr>
        <w:t>図表</w:t>
      </w:r>
      <w:r w:rsidRPr="00186350">
        <w:rPr>
          <w:rFonts w:hint="eastAsia"/>
        </w:rPr>
        <w:t>5)</w:t>
      </w:r>
      <w:r w:rsidRPr="00186350">
        <w:rPr>
          <w:rFonts w:hint="eastAsia"/>
        </w:rPr>
        <w:t>。</w:t>
      </w:r>
      <w:r w:rsidRPr="00186350">
        <w:rPr>
          <w:rFonts w:hint="eastAsia"/>
        </w:rPr>
        <w:t>BIS</w:t>
      </w:r>
      <w:r w:rsidRPr="00186350">
        <w:rPr>
          <w:rFonts w:hint="eastAsia"/>
        </w:rPr>
        <w:t>の与信統計のガイドラインによれば、外国の子会社における支配権の有無は、当該子会社の</w:t>
      </w:r>
      <w:r w:rsidRPr="00186350">
        <w:rPr>
          <w:rFonts w:hint="eastAsia"/>
        </w:rPr>
        <w:t>50%</w:t>
      </w:r>
      <w:r w:rsidRPr="00186350">
        <w:rPr>
          <w:rFonts w:hint="eastAsia"/>
        </w:rPr>
        <w:t>以上を保有していることが条件となる。モロッコの商業銀行はスペイン・フランスをはじめとする</w:t>
      </w:r>
      <w:r w:rsidRPr="00186350">
        <w:rPr>
          <w:rFonts w:hint="eastAsia"/>
        </w:rPr>
        <w:t>EU</w:t>
      </w:r>
      <w:r w:rsidRPr="00186350">
        <w:rPr>
          <w:rFonts w:hint="eastAsia"/>
        </w:rPr>
        <w:t>系の金融機関が資本参加をしているものの、それぞれの金融機関の持株比率が</w:t>
      </w:r>
      <w:r w:rsidRPr="00186350">
        <w:rPr>
          <w:rFonts w:hint="eastAsia"/>
        </w:rPr>
        <w:t>30%</w:t>
      </w:r>
      <w:r w:rsidRPr="00186350">
        <w:rPr>
          <w:rFonts w:hint="eastAsia"/>
        </w:rPr>
        <w:t>程度と低い場合が多く、</w:t>
      </w:r>
      <w:r w:rsidR="009605DA">
        <w:rPr>
          <w:rFonts w:hint="eastAsia"/>
        </w:rPr>
        <w:t>国内銀行</w:t>
      </w:r>
      <w:r>
        <w:rPr>
          <w:rFonts w:hint="eastAsia"/>
        </w:rPr>
        <w:t>としてカウントされる。そのため、</w:t>
      </w:r>
      <w:r>
        <w:rPr>
          <w:rFonts w:hint="eastAsia"/>
        </w:rPr>
        <w:t>Global Banking</w:t>
      </w:r>
      <w:r>
        <w:rPr>
          <w:rFonts w:hint="eastAsia"/>
        </w:rPr>
        <w:t>比率の分母が相対的に大きいままとなり、外国銀行のシェアが小さく見えているのである</w:t>
      </w:r>
      <w:r w:rsidRPr="00186350">
        <w:rPr>
          <w:rFonts w:hint="eastAsia"/>
        </w:rPr>
        <w:t>。</w:t>
      </w:r>
    </w:p>
    <w:p w:rsidR="002D2F68" w:rsidRDefault="00186350" w:rsidP="00CD5D37">
      <w:pPr>
        <w:ind w:firstLineChars="100" w:firstLine="210"/>
      </w:pPr>
      <w:r>
        <w:rPr>
          <w:rFonts w:hint="eastAsia"/>
        </w:rPr>
        <w:t>こうしたデータ上の限界を踏まえ、</w:t>
      </w:r>
      <w:r w:rsidR="00400558">
        <w:rPr>
          <w:rFonts w:hint="eastAsia"/>
        </w:rPr>
        <w:t>以下では、モロッコの銀行市場における金融</w:t>
      </w:r>
      <w:r w:rsidR="00400558">
        <w:rPr>
          <w:rFonts w:hint="eastAsia"/>
        </w:rPr>
        <w:t>FDI</w:t>
      </w:r>
      <w:r>
        <w:rPr>
          <w:rFonts w:hint="eastAsia"/>
        </w:rPr>
        <w:t>がどのように進展してきているのか、具体的な事例をもとに概観</w:t>
      </w:r>
      <w:r w:rsidR="00400558">
        <w:rPr>
          <w:rFonts w:hint="eastAsia"/>
        </w:rPr>
        <w:t>したい。</w:t>
      </w:r>
      <w:r w:rsidR="007E3583">
        <w:rPr>
          <w:rFonts w:hint="eastAsia"/>
        </w:rPr>
        <w:t>2010</w:t>
      </w:r>
      <w:r w:rsidR="00F82EA7">
        <w:rPr>
          <w:rFonts w:hint="eastAsia"/>
        </w:rPr>
        <w:t>年</w:t>
      </w:r>
      <w:r w:rsidR="007E3583">
        <w:rPr>
          <w:rFonts w:hint="eastAsia"/>
        </w:rPr>
        <w:t>時点で、</w:t>
      </w:r>
      <w:r w:rsidR="00F82EA7">
        <w:rPr>
          <w:rFonts w:hint="eastAsia"/>
        </w:rPr>
        <w:t>モロッコにある</w:t>
      </w:r>
      <w:r w:rsidR="00F82EA7">
        <w:rPr>
          <w:rFonts w:hint="eastAsia"/>
        </w:rPr>
        <w:t>84</w:t>
      </w:r>
      <w:r w:rsidR="00F82EA7">
        <w:rPr>
          <w:rFonts w:hint="eastAsia"/>
        </w:rPr>
        <w:t>の金融機関の内訳は、銀行が</w:t>
      </w:r>
      <w:r w:rsidR="00F82EA7">
        <w:rPr>
          <w:rFonts w:hint="eastAsia"/>
        </w:rPr>
        <w:t>19</w:t>
      </w:r>
      <w:r w:rsidR="00F82EA7">
        <w:rPr>
          <w:rFonts w:hint="eastAsia"/>
        </w:rPr>
        <w:t>行</w:t>
      </w:r>
      <w:r w:rsidR="007E3583">
        <w:rPr>
          <w:rFonts w:hint="eastAsia"/>
        </w:rPr>
        <w:t>(</w:t>
      </w:r>
      <w:r w:rsidR="003F0EAF">
        <w:rPr>
          <w:rFonts w:hint="eastAsia"/>
        </w:rPr>
        <w:t>国内資本銀行</w:t>
      </w:r>
      <w:r w:rsidR="007E3583">
        <w:rPr>
          <w:rFonts w:hint="eastAsia"/>
        </w:rPr>
        <w:t>6</w:t>
      </w:r>
      <w:r w:rsidR="007E3583">
        <w:rPr>
          <w:rFonts w:hint="eastAsia"/>
        </w:rPr>
        <w:t>行・外国銀行</w:t>
      </w:r>
      <w:r w:rsidR="007E3583">
        <w:rPr>
          <w:rFonts w:hint="eastAsia"/>
        </w:rPr>
        <w:t>7</w:t>
      </w:r>
      <w:r w:rsidR="007E3583">
        <w:rPr>
          <w:rFonts w:hint="eastAsia"/>
        </w:rPr>
        <w:t>行を含む</w:t>
      </w:r>
      <w:r w:rsidR="007E3583">
        <w:rPr>
          <w:rFonts w:hint="eastAsia"/>
        </w:rPr>
        <w:t>)</w:t>
      </w:r>
      <w:r w:rsidR="00F82EA7">
        <w:rPr>
          <w:rFonts w:hint="eastAsia"/>
        </w:rPr>
        <w:t>、ファイナンス・カンパニーが</w:t>
      </w:r>
      <w:r w:rsidR="00F82EA7">
        <w:rPr>
          <w:rFonts w:hint="eastAsia"/>
        </w:rPr>
        <w:t>36</w:t>
      </w:r>
      <w:r w:rsidR="00F82EA7">
        <w:rPr>
          <w:rFonts w:hint="eastAsia"/>
        </w:rPr>
        <w:t>社、オフショア銀行が</w:t>
      </w:r>
      <w:r w:rsidR="00F82EA7">
        <w:rPr>
          <w:rFonts w:hint="eastAsia"/>
        </w:rPr>
        <w:t>6</w:t>
      </w:r>
      <w:r w:rsidR="00F82EA7">
        <w:rPr>
          <w:rFonts w:hint="eastAsia"/>
        </w:rPr>
        <w:t>行、</w:t>
      </w:r>
      <w:r w:rsidR="007E3583">
        <w:rPr>
          <w:rFonts w:hint="eastAsia"/>
        </w:rPr>
        <w:t>マイクロクレジットの実施団体</w:t>
      </w:r>
      <w:r w:rsidR="00F82EA7">
        <w:rPr>
          <w:rFonts w:hint="eastAsia"/>
        </w:rPr>
        <w:t>が</w:t>
      </w:r>
      <w:r w:rsidR="00F82EA7">
        <w:rPr>
          <w:rFonts w:hint="eastAsia"/>
        </w:rPr>
        <w:t>12</w:t>
      </w:r>
      <w:r w:rsidR="00F82EA7">
        <w:rPr>
          <w:rFonts w:hint="eastAsia"/>
        </w:rPr>
        <w:t>社、</w:t>
      </w:r>
      <w:r w:rsidR="007E3583">
        <w:rPr>
          <w:rFonts w:hint="eastAsia"/>
        </w:rPr>
        <w:t>資金移動サービス仲介業が</w:t>
      </w:r>
      <w:r w:rsidR="007E3583">
        <w:rPr>
          <w:rFonts w:hint="eastAsia"/>
        </w:rPr>
        <w:t>9</w:t>
      </w:r>
      <w:r w:rsidR="007E3583">
        <w:rPr>
          <w:rFonts w:hint="eastAsia"/>
        </w:rPr>
        <w:t>社である</w:t>
      </w:r>
      <w:r w:rsidR="005F25EA">
        <w:rPr>
          <w:rStyle w:val="ac"/>
        </w:rPr>
        <w:footnoteReference w:id="27"/>
      </w:r>
      <w:r w:rsidR="007E3583">
        <w:rPr>
          <w:rFonts w:hint="eastAsia"/>
        </w:rPr>
        <w:t>。これに政府系金融機関の</w:t>
      </w:r>
      <w:r w:rsidR="007E3583">
        <w:rPr>
          <w:rFonts w:hint="eastAsia"/>
        </w:rPr>
        <w:t>CDG</w:t>
      </w:r>
      <w:r w:rsidR="007E3583">
        <w:rPr>
          <w:rFonts w:hint="eastAsia"/>
        </w:rPr>
        <w:t>と</w:t>
      </w:r>
      <w:r w:rsidR="007E3583">
        <w:rPr>
          <w:rFonts w:hint="eastAsia"/>
        </w:rPr>
        <w:t>CDF</w:t>
      </w:r>
      <w:r w:rsidR="007E3583">
        <w:rPr>
          <w:rFonts w:hint="eastAsia"/>
        </w:rPr>
        <w:t>が含まれる。</w:t>
      </w:r>
      <w:r w:rsidR="00602264">
        <w:rPr>
          <w:rFonts w:hint="eastAsia"/>
        </w:rPr>
        <w:t>世界経済金融危機にもかかわらず、同国の銀行セクターは、国内および海外でリテール業務を拡大している</w:t>
      </w:r>
      <w:r w:rsidR="00602264">
        <w:rPr>
          <w:rStyle w:val="ac"/>
        </w:rPr>
        <w:footnoteReference w:id="28"/>
      </w:r>
      <w:r w:rsidR="00602264">
        <w:rPr>
          <w:rFonts w:hint="eastAsia"/>
        </w:rPr>
        <w:t>。地域レベルでは、サブサハラ</w:t>
      </w:r>
      <w:r w:rsidR="009605DA">
        <w:rPr>
          <w:rFonts w:hint="eastAsia"/>
        </w:rPr>
        <w:t>・</w:t>
      </w:r>
      <w:r w:rsidR="00602264">
        <w:rPr>
          <w:rFonts w:hint="eastAsia"/>
        </w:rPr>
        <w:t>アフリカ地域における新たな支店の開設や現地銀行子会社の買収が盛んである。</w:t>
      </w:r>
      <w:r w:rsidR="00885A1F">
        <w:rPr>
          <w:rFonts w:hint="eastAsia"/>
        </w:rPr>
        <w:t>2000</w:t>
      </w:r>
      <w:r w:rsidR="00885A1F">
        <w:rPr>
          <w:rFonts w:hint="eastAsia"/>
        </w:rPr>
        <w:t>年代を通して、</w:t>
      </w:r>
      <w:r w:rsidR="007E3583">
        <w:rPr>
          <w:rFonts w:hint="eastAsia"/>
        </w:rPr>
        <w:t>モロッコで業務を行う商業銀行の</w:t>
      </w:r>
      <w:r w:rsidR="00885A1F">
        <w:rPr>
          <w:rFonts w:hint="eastAsia"/>
        </w:rPr>
        <w:t>うち、外国銀行</w:t>
      </w:r>
      <w:r w:rsidR="00885A1F">
        <w:rPr>
          <w:rFonts w:hint="eastAsia"/>
        </w:rPr>
        <w:t>(</w:t>
      </w:r>
      <w:proofErr w:type="spellStart"/>
      <w:r w:rsidR="00885A1F">
        <w:rPr>
          <w:rFonts w:hint="eastAsia"/>
        </w:rPr>
        <w:t>banques</w:t>
      </w:r>
      <w:proofErr w:type="spellEnd"/>
      <w:r w:rsidR="00885A1F">
        <w:rPr>
          <w:rFonts w:hint="eastAsia"/>
        </w:rPr>
        <w:t xml:space="preserve"> à capital </w:t>
      </w:r>
      <w:proofErr w:type="spellStart"/>
      <w:r w:rsidR="00885A1F">
        <w:rPr>
          <w:rFonts w:hint="eastAsia"/>
        </w:rPr>
        <w:t>majoritairement</w:t>
      </w:r>
      <w:proofErr w:type="spellEnd"/>
      <w:r w:rsidR="00885A1F">
        <w:rPr>
          <w:rFonts w:hint="eastAsia"/>
        </w:rPr>
        <w:t xml:space="preserve"> </w:t>
      </w:r>
      <w:proofErr w:type="spellStart"/>
      <w:r w:rsidR="00885A1F">
        <w:rPr>
          <w:rFonts w:hint="eastAsia"/>
        </w:rPr>
        <w:t>étranger</w:t>
      </w:r>
      <w:proofErr w:type="spellEnd"/>
      <w:r w:rsidR="00885A1F">
        <w:rPr>
          <w:rFonts w:hint="eastAsia"/>
        </w:rPr>
        <w:t>)</w:t>
      </w:r>
      <w:r w:rsidR="00885A1F">
        <w:rPr>
          <w:rFonts w:hint="eastAsia"/>
        </w:rPr>
        <w:t>は</w:t>
      </w:r>
      <w:r w:rsidR="00885A1F">
        <w:rPr>
          <w:rFonts w:hint="eastAsia"/>
        </w:rPr>
        <w:t>5</w:t>
      </w:r>
      <w:r w:rsidR="00885A1F">
        <w:rPr>
          <w:rFonts w:hint="eastAsia"/>
        </w:rPr>
        <w:t>行であったが、</w:t>
      </w:r>
      <w:r w:rsidR="00885A1F">
        <w:rPr>
          <w:rFonts w:hint="eastAsia"/>
        </w:rPr>
        <w:t>2008</w:t>
      </w:r>
      <w:r w:rsidR="00885A1F">
        <w:rPr>
          <w:rFonts w:hint="eastAsia"/>
        </w:rPr>
        <w:t>年には</w:t>
      </w:r>
      <w:r w:rsidR="00885A1F">
        <w:rPr>
          <w:rFonts w:hint="eastAsia"/>
        </w:rPr>
        <w:t>7</w:t>
      </w:r>
      <w:r w:rsidR="00885A1F">
        <w:rPr>
          <w:rFonts w:hint="eastAsia"/>
        </w:rPr>
        <w:t>行に増え、</w:t>
      </w:r>
      <w:r w:rsidR="00EE6D4F" w:rsidRPr="00E072BA">
        <w:rPr>
          <w:rFonts w:hint="eastAsia"/>
        </w:rPr>
        <w:t>国内資本銀行</w:t>
      </w:r>
      <w:r w:rsidR="00EE6D4F">
        <w:rPr>
          <w:rFonts w:hint="eastAsia"/>
        </w:rPr>
        <w:t>(</w:t>
      </w:r>
      <w:proofErr w:type="spellStart"/>
      <w:r w:rsidR="00885A1F">
        <w:rPr>
          <w:rFonts w:hint="eastAsia"/>
        </w:rPr>
        <w:t>banques</w:t>
      </w:r>
      <w:proofErr w:type="spellEnd"/>
      <w:r w:rsidR="00885A1F">
        <w:rPr>
          <w:rFonts w:hint="eastAsia"/>
        </w:rPr>
        <w:t xml:space="preserve"> à capital </w:t>
      </w:r>
      <w:proofErr w:type="spellStart"/>
      <w:r w:rsidR="00885A1F">
        <w:rPr>
          <w:rFonts w:hint="eastAsia"/>
        </w:rPr>
        <w:t>majoritairement</w:t>
      </w:r>
      <w:proofErr w:type="spellEnd"/>
      <w:r w:rsidR="00885A1F">
        <w:rPr>
          <w:rFonts w:hint="eastAsia"/>
        </w:rPr>
        <w:t xml:space="preserve"> public)</w:t>
      </w:r>
      <w:r w:rsidR="00885A1F">
        <w:rPr>
          <w:rFonts w:hint="eastAsia"/>
        </w:rPr>
        <w:t>の数を上回った。</w:t>
      </w:r>
      <w:r w:rsidR="002F6AFF">
        <w:rPr>
          <w:rFonts w:hint="eastAsia"/>
        </w:rPr>
        <w:t>モロッコ中央銀行によれば、</w:t>
      </w:r>
      <w:r w:rsidR="002F6AFF">
        <w:rPr>
          <w:rFonts w:hint="eastAsia"/>
        </w:rPr>
        <w:t>2008</w:t>
      </w:r>
      <w:r w:rsidR="002F6AFF">
        <w:rPr>
          <w:rFonts w:hint="eastAsia"/>
        </w:rPr>
        <w:t>年度は新たにスペインの銀行</w:t>
      </w:r>
      <w:r w:rsidR="002F6AFF">
        <w:rPr>
          <w:rFonts w:hint="eastAsia"/>
        </w:rPr>
        <w:t>(</w:t>
      </w:r>
      <w:proofErr w:type="spellStart"/>
      <w:r w:rsidR="002F6AFF">
        <w:rPr>
          <w:rFonts w:hint="eastAsia"/>
        </w:rPr>
        <w:t>Bancosabadell</w:t>
      </w:r>
      <w:proofErr w:type="spellEnd"/>
      <w:r w:rsidR="002F6AFF">
        <w:rPr>
          <w:rFonts w:hint="eastAsia"/>
        </w:rPr>
        <w:t>と</w:t>
      </w:r>
      <w:proofErr w:type="spellStart"/>
      <w:r w:rsidR="002F6AFF">
        <w:rPr>
          <w:rFonts w:hint="eastAsia"/>
        </w:rPr>
        <w:t>Caja</w:t>
      </w:r>
      <w:proofErr w:type="spellEnd"/>
      <w:r w:rsidR="002F6AFF">
        <w:rPr>
          <w:rFonts w:hint="eastAsia"/>
        </w:rPr>
        <w:t xml:space="preserve"> </w:t>
      </w:r>
      <w:proofErr w:type="spellStart"/>
      <w:r w:rsidR="002F6AFF">
        <w:rPr>
          <w:rFonts w:hint="eastAsia"/>
        </w:rPr>
        <w:t>Mediterraneo</w:t>
      </w:r>
      <w:proofErr w:type="spellEnd"/>
      <w:r w:rsidR="002F6AFF">
        <w:rPr>
          <w:rFonts w:hint="eastAsia"/>
        </w:rPr>
        <w:t>)</w:t>
      </w:r>
      <w:r w:rsidR="002F6AFF">
        <w:rPr>
          <w:rFonts w:hint="eastAsia"/>
        </w:rPr>
        <w:t>がライセンスを取得して支店を開設するなど、同国の銀行セクターにおける外国銀行のプレゼンスが高まりつつある</w:t>
      </w:r>
      <w:r w:rsidR="002F6AFF">
        <w:rPr>
          <w:rStyle w:val="ac"/>
        </w:rPr>
        <w:footnoteReference w:id="29"/>
      </w:r>
      <w:r w:rsidR="002F6AFF">
        <w:rPr>
          <w:rFonts w:hint="eastAsia"/>
        </w:rPr>
        <w:t>。他方で、</w:t>
      </w:r>
      <w:r w:rsidR="001052A4">
        <w:rPr>
          <w:rFonts w:hint="eastAsia"/>
        </w:rPr>
        <w:lastRenderedPageBreak/>
        <w:t>国有銀行資本を民間の投資</w:t>
      </w:r>
      <w:r w:rsidR="00AE2925">
        <w:rPr>
          <w:rFonts w:hint="eastAsia"/>
        </w:rPr>
        <w:t>家に売却し、民営化を展開した結果、政府による銀行セクターへの影響</w:t>
      </w:r>
      <w:r w:rsidR="00602264">
        <w:rPr>
          <w:rFonts w:hint="eastAsia"/>
        </w:rPr>
        <w:t>は縮小している。</w:t>
      </w:r>
      <w:r w:rsidR="001052A4">
        <w:rPr>
          <w:rFonts w:hint="eastAsia"/>
        </w:rPr>
        <w:t>2004</w:t>
      </w:r>
      <w:r w:rsidR="001052A4">
        <w:rPr>
          <w:rFonts w:hint="eastAsia"/>
        </w:rPr>
        <w:t>年以降、銀行の支店網が急速に拡大し、</w:t>
      </w:r>
      <w:r w:rsidR="001052A4">
        <w:rPr>
          <w:rFonts w:hint="eastAsia"/>
        </w:rPr>
        <w:t>2009</w:t>
      </w:r>
      <w:r w:rsidR="001052A4">
        <w:rPr>
          <w:rFonts w:hint="eastAsia"/>
        </w:rPr>
        <w:t>年の</w:t>
      </w:r>
      <w:r w:rsidR="00BC57B1">
        <w:rPr>
          <w:rFonts w:hint="eastAsia"/>
        </w:rPr>
        <w:t>モロッコ全土での支店数は</w:t>
      </w:r>
      <w:r w:rsidR="00BC57B1">
        <w:rPr>
          <w:rFonts w:hint="eastAsia"/>
        </w:rPr>
        <w:t>5,000</w:t>
      </w:r>
      <w:r w:rsidR="00BC57B1">
        <w:rPr>
          <w:rFonts w:hint="eastAsia"/>
        </w:rPr>
        <w:t>を超えた</w:t>
      </w:r>
      <w:r w:rsidR="00CA365D">
        <w:rPr>
          <w:rStyle w:val="ac"/>
        </w:rPr>
        <w:footnoteReference w:id="30"/>
      </w:r>
      <w:r w:rsidR="00BC57B1">
        <w:rPr>
          <w:rFonts w:hint="eastAsia"/>
        </w:rPr>
        <w:t>。</w:t>
      </w:r>
    </w:p>
    <w:p w:rsidR="009D7802" w:rsidRDefault="00B53553" w:rsidP="005039B6">
      <w:pPr>
        <w:ind w:firstLineChars="50" w:firstLine="105"/>
      </w:pPr>
      <w:r>
        <w:rPr>
          <w:rFonts w:hint="eastAsia"/>
        </w:rPr>
        <w:t>モロッコにおける</w:t>
      </w:r>
      <w:r>
        <w:rPr>
          <w:rFonts w:hint="eastAsia"/>
        </w:rPr>
        <w:t>19</w:t>
      </w:r>
      <w:r w:rsidR="00AE2925">
        <w:rPr>
          <w:rFonts w:hint="eastAsia"/>
        </w:rPr>
        <w:t>行の商業銀行のうち、中核をなしているのは国内の</w:t>
      </w:r>
      <w:r>
        <w:rPr>
          <w:rFonts w:hint="eastAsia"/>
        </w:rPr>
        <w:t>商業銀行である。過去</w:t>
      </w:r>
      <w:r>
        <w:rPr>
          <w:rFonts w:hint="eastAsia"/>
        </w:rPr>
        <w:t>5</w:t>
      </w:r>
      <w:r>
        <w:rPr>
          <w:rFonts w:hint="eastAsia"/>
        </w:rPr>
        <w:t>年間</w:t>
      </w:r>
      <w:r>
        <w:rPr>
          <w:rFonts w:hint="eastAsia"/>
        </w:rPr>
        <w:t>(2007</w:t>
      </w:r>
      <w:r>
        <w:rPr>
          <w:rFonts w:hint="eastAsia"/>
        </w:rPr>
        <w:t>～</w:t>
      </w:r>
      <w:r>
        <w:rPr>
          <w:rFonts w:hint="eastAsia"/>
        </w:rPr>
        <w:t>2011</w:t>
      </w:r>
      <w:r>
        <w:rPr>
          <w:rFonts w:hint="eastAsia"/>
        </w:rPr>
        <w:t>年</w:t>
      </w:r>
      <w:r>
        <w:rPr>
          <w:rFonts w:hint="eastAsia"/>
        </w:rPr>
        <w:t>)</w:t>
      </w:r>
      <w:r w:rsidR="00AE2925">
        <w:rPr>
          <w:rFonts w:hint="eastAsia"/>
        </w:rPr>
        <w:t>の銀行セクターにおける資産規模ランキングを見</w:t>
      </w:r>
      <w:r>
        <w:rPr>
          <w:rFonts w:hint="eastAsia"/>
        </w:rPr>
        <w:t>てみると、</w:t>
      </w:r>
      <w:proofErr w:type="spellStart"/>
      <w:r>
        <w:rPr>
          <w:rFonts w:hint="eastAsia"/>
        </w:rPr>
        <w:t>Attijariwafa</w:t>
      </w:r>
      <w:proofErr w:type="spellEnd"/>
      <w:r>
        <w:rPr>
          <w:rFonts w:hint="eastAsia"/>
        </w:rPr>
        <w:t>銀行、</w:t>
      </w:r>
      <w:r w:rsidR="00EE6D4F">
        <w:rPr>
          <w:rFonts w:hint="eastAsia"/>
        </w:rPr>
        <w:t xml:space="preserve"> </w:t>
      </w:r>
      <w:proofErr w:type="spellStart"/>
      <w:r w:rsidR="00EE6D4F">
        <w:rPr>
          <w:rFonts w:hint="eastAsia"/>
        </w:rPr>
        <w:t>Banques</w:t>
      </w:r>
      <w:proofErr w:type="spellEnd"/>
      <w:r w:rsidR="00EE6D4F">
        <w:rPr>
          <w:rFonts w:hint="eastAsia"/>
        </w:rPr>
        <w:t xml:space="preserve"> </w:t>
      </w:r>
      <w:proofErr w:type="spellStart"/>
      <w:r w:rsidR="00EE6D4F">
        <w:rPr>
          <w:rFonts w:hint="eastAsia"/>
        </w:rPr>
        <w:t>Populaire</w:t>
      </w:r>
      <w:proofErr w:type="spellEnd"/>
      <w:r w:rsidR="00EE6D4F">
        <w:rPr>
          <w:rFonts w:hint="eastAsia"/>
        </w:rPr>
        <w:t>グループ、</w:t>
      </w:r>
      <w:r w:rsidR="00EE6D4F">
        <w:rPr>
          <w:rFonts w:hint="eastAsia"/>
        </w:rPr>
        <w:t>BMCE</w:t>
      </w:r>
      <w:r w:rsidR="00EE6D4F">
        <w:rPr>
          <w:rFonts w:hint="eastAsia"/>
        </w:rPr>
        <w:t>銀行が上位</w:t>
      </w:r>
      <w:r w:rsidR="00EE6D4F">
        <w:rPr>
          <w:rFonts w:hint="eastAsia"/>
        </w:rPr>
        <w:t>3</w:t>
      </w:r>
      <w:r w:rsidR="00EE6D4F">
        <w:rPr>
          <w:rFonts w:hint="eastAsia"/>
        </w:rPr>
        <w:t>行としてあげられる</w:t>
      </w:r>
      <w:r w:rsidR="00DC3274">
        <w:rPr>
          <w:rStyle w:val="ac"/>
        </w:rPr>
        <w:footnoteReference w:id="31"/>
      </w:r>
      <w:r w:rsidR="00EE6D4F">
        <w:rPr>
          <w:rFonts w:hint="eastAsia"/>
        </w:rPr>
        <w:t>。これらの銀行の</w:t>
      </w:r>
      <w:r w:rsidR="00E0426E" w:rsidRPr="00E0426E">
        <w:rPr>
          <w:rFonts w:hint="eastAsia"/>
        </w:rPr>
        <w:t>2009</w:t>
      </w:r>
      <w:r w:rsidR="00AE2925" w:rsidRPr="00E0426E">
        <w:rPr>
          <w:rFonts w:hint="eastAsia"/>
        </w:rPr>
        <w:t>年の</w:t>
      </w:r>
      <w:r w:rsidR="00EE6D4F">
        <w:rPr>
          <w:rFonts w:hint="eastAsia"/>
        </w:rPr>
        <w:t>資産シェアは約</w:t>
      </w:r>
      <w:r w:rsidR="00E0426E">
        <w:rPr>
          <w:rFonts w:hint="eastAsia"/>
        </w:rPr>
        <w:t>66</w:t>
      </w:r>
      <w:r w:rsidR="00EE6D4F">
        <w:rPr>
          <w:rFonts w:hint="eastAsia"/>
        </w:rPr>
        <w:t>％である</w:t>
      </w:r>
      <w:r w:rsidR="00DC3274">
        <w:rPr>
          <w:rStyle w:val="ac"/>
        </w:rPr>
        <w:footnoteReference w:id="32"/>
      </w:r>
      <w:r w:rsidR="00EE6D4F">
        <w:rPr>
          <w:rFonts w:hint="eastAsia"/>
        </w:rPr>
        <w:t>。さらに、国公営金融機関の民営化によって現地銀行を買収し</w:t>
      </w:r>
      <w:r w:rsidR="00F671B8">
        <w:rPr>
          <w:rFonts w:hint="eastAsia"/>
        </w:rPr>
        <w:t>、リテール業務を展開している</w:t>
      </w:r>
      <w:r w:rsidR="00EE6D4F">
        <w:rPr>
          <w:rFonts w:hint="eastAsia"/>
        </w:rPr>
        <w:t>多国籍銀行</w:t>
      </w:r>
      <w:r w:rsidR="00DC3274">
        <w:rPr>
          <w:rFonts w:hint="eastAsia"/>
        </w:rPr>
        <w:t>で、</w:t>
      </w:r>
      <w:r w:rsidR="00DC3274">
        <w:rPr>
          <w:rFonts w:hint="eastAsia"/>
        </w:rPr>
        <w:t>BNP Paribas</w:t>
      </w:r>
      <w:r w:rsidR="00DC3274">
        <w:rPr>
          <w:rFonts w:hint="eastAsia"/>
        </w:rPr>
        <w:t>グループの子会社である</w:t>
      </w:r>
      <w:r w:rsidR="00EE6D4F">
        <w:rPr>
          <w:rFonts w:hint="eastAsia"/>
        </w:rPr>
        <w:t>BMCI</w:t>
      </w:r>
      <w:r w:rsidR="00DC3274">
        <w:rPr>
          <w:rFonts w:hint="eastAsia"/>
        </w:rPr>
        <w:t>(</w:t>
      </w:r>
      <w:proofErr w:type="spellStart"/>
      <w:r w:rsidR="00DC3274">
        <w:rPr>
          <w:rFonts w:hint="eastAsia"/>
        </w:rPr>
        <w:t>Banque</w:t>
      </w:r>
      <w:proofErr w:type="spellEnd"/>
      <w:r w:rsidR="00DC3274">
        <w:rPr>
          <w:rFonts w:hint="eastAsia"/>
        </w:rPr>
        <w:t xml:space="preserve"> </w:t>
      </w:r>
      <w:proofErr w:type="spellStart"/>
      <w:r w:rsidR="00DC3274">
        <w:rPr>
          <w:rFonts w:hint="eastAsia"/>
        </w:rPr>
        <w:t>Marocaine</w:t>
      </w:r>
      <w:proofErr w:type="spellEnd"/>
      <w:r w:rsidR="00DC3274">
        <w:rPr>
          <w:rFonts w:hint="eastAsia"/>
        </w:rPr>
        <w:t xml:space="preserve"> pour le Commerce et </w:t>
      </w:r>
      <w:proofErr w:type="spellStart"/>
      <w:r w:rsidR="00DC3274">
        <w:rPr>
          <w:rFonts w:hint="eastAsia"/>
        </w:rPr>
        <w:t>l</w:t>
      </w:r>
      <w:r w:rsidR="00DC3274">
        <w:t>’</w:t>
      </w:r>
      <w:r w:rsidR="00DC3274">
        <w:rPr>
          <w:rFonts w:hint="eastAsia"/>
        </w:rPr>
        <w:t>Industrie</w:t>
      </w:r>
      <w:proofErr w:type="spellEnd"/>
      <w:r w:rsidR="00DC3274">
        <w:rPr>
          <w:rFonts w:hint="eastAsia"/>
        </w:rPr>
        <w:t>)</w:t>
      </w:r>
      <w:r w:rsidR="00DC3274">
        <w:rPr>
          <w:rFonts w:hint="eastAsia"/>
        </w:rPr>
        <w:t>や</w:t>
      </w:r>
      <w:r w:rsidR="00DC3274">
        <w:rPr>
          <w:rFonts w:hint="eastAsia"/>
        </w:rPr>
        <w:t xml:space="preserve">Société </w:t>
      </w:r>
      <w:proofErr w:type="spellStart"/>
      <w:r w:rsidR="00DC3274">
        <w:rPr>
          <w:rFonts w:hint="eastAsia"/>
        </w:rPr>
        <w:t>Générale</w:t>
      </w:r>
      <w:proofErr w:type="spellEnd"/>
      <w:r w:rsidR="00DC3274">
        <w:rPr>
          <w:rFonts w:hint="eastAsia"/>
        </w:rPr>
        <w:t xml:space="preserve">、　</w:t>
      </w:r>
      <w:proofErr w:type="spellStart"/>
      <w:r w:rsidR="00F60657">
        <w:rPr>
          <w:rFonts w:hint="eastAsia"/>
        </w:rPr>
        <w:t>Crédit</w:t>
      </w:r>
      <w:proofErr w:type="spellEnd"/>
      <w:r w:rsidR="00F60657">
        <w:rPr>
          <w:rFonts w:hint="eastAsia"/>
        </w:rPr>
        <w:t xml:space="preserve"> du </w:t>
      </w:r>
      <w:proofErr w:type="spellStart"/>
      <w:r w:rsidR="00F60657">
        <w:rPr>
          <w:rFonts w:hint="eastAsia"/>
        </w:rPr>
        <w:t>Maroc</w:t>
      </w:r>
      <w:proofErr w:type="spellEnd"/>
      <w:r w:rsidR="00987060">
        <w:rPr>
          <w:rFonts w:hint="eastAsia"/>
        </w:rPr>
        <w:t>といったフランス系銀行を含む上位</w:t>
      </w:r>
      <w:r w:rsidR="00987060">
        <w:rPr>
          <w:rFonts w:hint="eastAsia"/>
        </w:rPr>
        <w:t>5</w:t>
      </w:r>
      <w:r w:rsidR="00987060">
        <w:rPr>
          <w:rFonts w:hint="eastAsia"/>
        </w:rPr>
        <w:t>行で</w:t>
      </w:r>
      <w:r w:rsidR="00AE2925">
        <w:rPr>
          <w:rFonts w:hint="eastAsia"/>
        </w:rPr>
        <w:t>、資産</w:t>
      </w:r>
      <w:r w:rsidR="00987060">
        <w:rPr>
          <w:rFonts w:hint="eastAsia"/>
        </w:rPr>
        <w:t>全体の</w:t>
      </w:r>
      <w:r w:rsidR="00E0426E">
        <w:rPr>
          <w:rFonts w:hint="eastAsia"/>
        </w:rPr>
        <w:t>81.8</w:t>
      </w:r>
      <w:r w:rsidR="00987060">
        <w:rPr>
          <w:rFonts w:hint="eastAsia"/>
        </w:rPr>
        <w:t>%</w:t>
      </w:r>
      <w:r w:rsidR="00987060">
        <w:rPr>
          <w:rFonts w:hint="eastAsia"/>
        </w:rPr>
        <w:t>を占めている</w:t>
      </w:r>
      <w:r w:rsidR="00E0426E">
        <w:rPr>
          <w:rFonts w:hint="eastAsia"/>
        </w:rPr>
        <w:t>(</w:t>
      </w:r>
      <w:r w:rsidR="00E0426E">
        <w:rPr>
          <w:rFonts w:hint="eastAsia"/>
        </w:rPr>
        <w:t>図表</w:t>
      </w:r>
      <w:r w:rsidR="00E0426E">
        <w:rPr>
          <w:rFonts w:hint="eastAsia"/>
        </w:rPr>
        <w:t>6)</w:t>
      </w:r>
      <w:r w:rsidR="00163A89">
        <w:rPr>
          <w:rFonts w:hint="eastAsia"/>
        </w:rPr>
        <w:t>。</w:t>
      </w:r>
    </w:p>
    <w:p w:rsidR="00AE2925" w:rsidRDefault="009D7802" w:rsidP="005039B6">
      <w:pPr>
        <w:ind w:firstLineChars="50" w:firstLine="105"/>
      </w:pPr>
      <w:r>
        <w:rPr>
          <w:rFonts w:hint="eastAsia"/>
        </w:rPr>
        <w:t>さらに、</w:t>
      </w:r>
      <w:r w:rsidRPr="00EF0E91">
        <w:rPr>
          <w:rFonts w:hint="eastAsia"/>
        </w:rPr>
        <w:t>2009</w:t>
      </w:r>
      <w:r w:rsidRPr="00EF0E91">
        <w:rPr>
          <w:rFonts w:hint="eastAsia"/>
        </w:rPr>
        <w:t>年の中央銀行の年次報告によれば、国内銀行の資産シェアは</w:t>
      </w:r>
      <w:r w:rsidRPr="00EF0E91">
        <w:rPr>
          <w:rFonts w:hint="eastAsia"/>
        </w:rPr>
        <w:t>54.3%</w:t>
      </w:r>
      <w:r w:rsidRPr="00EF0E91">
        <w:rPr>
          <w:rFonts w:hint="eastAsia"/>
        </w:rPr>
        <w:t>、支店数のシェアは</w:t>
      </w:r>
      <w:r w:rsidRPr="00EF0E91">
        <w:rPr>
          <w:rFonts w:hint="eastAsia"/>
        </w:rPr>
        <w:t>62.2%</w:t>
      </w:r>
      <w:r w:rsidRPr="00EF0E91">
        <w:rPr>
          <w:rFonts w:hint="eastAsia"/>
        </w:rPr>
        <w:t>、預金残高のシェアは</w:t>
      </w:r>
      <w:r w:rsidRPr="00EF0E91">
        <w:rPr>
          <w:rFonts w:hint="eastAsia"/>
        </w:rPr>
        <w:t>65.1%</w:t>
      </w:r>
      <w:r w:rsidRPr="00EF0E91">
        <w:rPr>
          <w:rFonts w:hint="eastAsia"/>
        </w:rPr>
        <w:t>であるのに対し、外国銀行の資産シェアは</w:t>
      </w:r>
      <w:r w:rsidRPr="00EF0E91">
        <w:rPr>
          <w:rFonts w:hint="eastAsia"/>
        </w:rPr>
        <w:t>20.7%</w:t>
      </w:r>
      <w:r w:rsidRPr="00EF0E91">
        <w:rPr>
          <w:rFonts w:hint="eastAsia"/>
        </w:rPr>
        <w:t>、支店数のシェアは</w:t>
      </w:r>
      <w:r w:rsidRPr="00EF0E91">
        <w:rPr>
          <w:rFonts w:hint="eastAsia"/>
        </w:rPr>
        <w:t>13.7%</w:t>
      </w:r>
      <w:r>
        <w:rPr>
          <w:rFonts w:hint="eastAsia"/>
        </w:rPr>
        <w:t>となっており、現地国内銀行の集中度が高いことが分かる。スペインの銀行で単一の支店を展開しているのは、</w:t>
      </w:r>
      <w:r>
        <w:rPr>
          <w:rFonts w:hint="eastAsia"/>
        </w:rPr>
        <w:t xml:space="preserve"> </w:t>
      </w:r>
      <w:proofErr w:type="spellStart"/>
      <w:r>
        <w:rPr>
          <w:rFonts w:hint="eastAsia"/>
        </w:rPr>
        <w:t>Bancosabadell</w:t>
      </w:r>
      <w:proofErr w:type="spellEnd"/>
      <w:r>
        <w:rPr>
          <w:rFonts w:hint="eastAsia"/>
        </w:rPr>
        <w:t>と</w:t>
      </w:r>
      <w:r>
        <w:rPr>
          <w:rFonts w:hint="eastAsia"/>
        </w:rPr>
        <w:t xml:space="preserve">La </w:t>
      </w:r>
      <w:proofErr w:type="spellStart"/>
      <w:r>
        <w:rPr>
          <w:rFonts w:hint="eastAsia"/>
        </w:rPr>
        <w:t>Caixa</w:t>
      </w:r>
      <w:proofErr w:type="spellEnd"/>
      <w:r>
        <w:rPr>
          <w:rFonts w:hint="eastAsia"/>
        </w:rPr>
        <w:t>(</w:t>
      </w:r>
      <w:proofErr w:type="spellStart"/>
      <w:r>
        <w:rPr>
          <w:rFonts w:hint="eastAsia"/>
        </w:rPr>
        <w:t>Caja</w:t>
      </w:r>
      <w:proofErr w:type="spellEnd"/>
      <w:r>
        <w:rPr>
          <w:rFonts w:hint="eastAsia"/>
        </w:rPr>
        <w:t xml:space="preserve"> de </w:t>
      </w:r>
      <w:proofErr w:type="spellStart"/>
      <w:r>
        <w:rPr>
          <w:rFonts w:hint="eastAsia"/>
        </w:rPr>
        <w:t>Ahorros</w:t>
      </w:r>
      <w:proofErr w:type="spellEnd"/>
      <w:r>
        <w:rPr>
          <w:rFonts w:hint="eastAsia"/>
        </w:rPr>
        <w:t xml:space="preserve"> y </w:t>
      </w:r>
      <w:proofErr w:type="spellStart"/>
      <w:r>
        <w:rPr>
          <w:rFonts w:hint="eastAsia"/>
        </w:rPr>
        <w:t>Pensiones</w:t>
      </w:r>
      <w:proofErr w:type="spellEnd"/>
      <w:r>
        <w:rPr>
          <w:rFonts w:hint="eastAsia"/>
        </w:rPr>
        <w:t xml:space="preserve"> de Barcelona)</w:t>
      </w:r>
      <w:r>
        <w:rPr>
          <w:rFonts w:hint="eastAsia"/>
        </w:rPr>
        <w:t>であるが、その規模は大きくない。その他、個人の口座開設の取り扱いが出来ない</w:t>
      </w:r>
      <w:r>
        <w:rPr>
          <w:rFonts w:hint="eastAsia"/>
        </w:rPr>
        <w:t>Citi bank Maghreb(Citi bank</w:t>
      </w:r>
      <w:r>
        <w:rPr>
          <w:rFonts w:hint="eastAsia"/>
        </w:rPr>
        <w:t>グループの子会社</w:t>
      </w:r>
      <w:r>
        <w:rPr>
          <w:rFonts w:hint="eastAsia"/>
        </w:rPr>
        <w:t>)</w:t>
      </w:r>
      <w:r>
        <w:rPr>
          <w:rFonts w:hint="eastAsia"/>
        </w:rPr>
        <w:t>や中東の</w:t>
      </w:r>
      <w:r>
        <w:rPr>
          <w:rFonts w:hint="eastAsia"/>
        </w:rPr>
        <w:t>ARAB Bank PLC</w:t>
      </w:r>
      <w:r>
        <w:rPr>
          <w:rFonts w:hint="eastAsia"/>
        </w:rPr>
        <w:t>も存在する。</w:t>
      </w:r>
    </w:p>
    <w:p w:rsidR="00E0426E" w:rsidRPr="00E0426E" w:rsidRDefault="00E0426E" w:rsidP="005039B6">
      <w:pPr>
        <w:ind w:firstLineChars="50" w:firstLine="105"/>
      </w:pPr>
    </w:p>
    <w:p w:rsidR="00AE2925" w:rsidRDefault="00AE2925" w:rsidP="00E0426E">
      <w:pPr>
        <w:ind w:firstLineChars="50" w:firstLine="105"/>
        <w:jc w:val="center"/>
      </w:pPr>
      <w:r>
        <w:rPr>
          <w:rFonts w:hint="eastAsia"/>
        </w:rPr>
        <w:t>図表</w:t>
      </w:r>
      <w:r>
        <w:rPr>
          <w:rFonts w:hint="eastAsia"/>
        </w:rPr>
        <w:t xml:space="preserve">6  </w:t>
      </w:r>
      <w:r>
        <w:rPr>
          <w:rFonts w:hint="eastAsia"/>
        </w:rPr>
        <w:t>モロッコ銀行</w:t>
      </w:r>
      <w:r w:rsidR="00E072BA">
        <w:rPr>
          <w:rFonts w:hint="eastAsia"/>
        </w:rPr>
        <w:t>セクター上位</w:t>
      </w:r>
      <w:r w:rsidR="00E072BA">
        <w:rPr>
          <w:rFonts w:hint="eastAsia"/>
        </w:rPr>
        <w:t>3</w:t>
      </w:r>
      <w:r w:rsidR="00E072BA">
        <w:rPr>
          <w:rFonts w:hint="eastAsia"/>
        </w:rPr>
        <w:t>行および</w:t>
      </w:r>
      <w:r w:rsidR="00E072BA">
        <w:rPr>
          <w:rFonts w:hint="eastAsia"/>
        </w:rPr>
        <w:t>5</w:t>
      </w:r>
      <w:r w:rsidR="00E072BA">
        <w:rPr>
          <w:rFonts w:hint="eastAsia"/>
        </w:rPr>
        <w:t>行</w:t>
      </w:r>
      <w:r w:rsidR="00E0426E">
        <w:rPr>
          <w:rFonts w:hint="eastAsia"/>
        </w:rPr>
        <w:t>の資産シェア</w:t>
      </w:r>
      <w:r>
        <w:rPr>
          <w:rFonts w:hint="eastAsia"/>
        </w:rPr>
        <w:t>(</w:t>
      </w:r>
      <w:r w:rsidR="00E0426E">
        <w:rPr>
          <w:rFonts w:hint="eastAsia"/>
        </w:rPr>
        <w:t>%</w:t>
      </w:r>
      <w:r>
        <w:rPr>
          <w:rFonts w:hint="eastAsia"/>
        </w:rPr>
        <w:t>)</w:t>
      </w:r>
    </w:p>
    <w:p w:rsidR="00AE2925" w:rsidRDefault="00AE2925" w:rsidP="00AE2925">
      <w:pPr>
        <w:ind w:firstLineChars="50" w:firstLine="105"/>
        <w:jc w:val="center"/>
      </w:pPr>
      <w:r>
        <w:rPr>
          <w:rFonts w:hint="eastAsia"/>
          <w:noProof/>
        </w:rPr>
        <w:drawing>
          <wp:inline distT="0" distB="0" distL="0" distR="0" wp14:anchorId="02958C20" wp14:editId="3E2D59D4">
            <wp:extent cx="4181475" cy="22193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2219325"/>
                    </a:xfrm>
                    <a:prstGeom prst="rect">
                      <a:avLst/>
                    </a:prstGeom>
                    <a:noFill/>
                    <a:ln>
                      <a:noFill/>
                    </a:ln>
                  </pic:spPr>
                </pic:pic>
              </a:graphicData>
            </a:graphic>
          </wp:inline>
        </w:drawing>
      </w:r>
    </w:p>
    <w:p w:rsidR="00E0426E" w:rsidRPr="00EF0E91" w:rsidRDefault="00E0426E" w:rsidP="00EF0E91">
      <w:pPr>
        <w:ind w:firstLineChars="50" w:firstLine="90"/>
        <w:jc w:val="center"/>
        <w:rPr>
          <w:sz w:val="18"/>
        </w:rPr>
      </w:pPr>
      <w:r w:rsidRPr="00EF0E91">
        <w:rPr>
          <w:rFonts w:hint="eastAsia"/>
          <w:sz w:val="18"/>
        </w:rPr>
        <w:t>出所：</w:t>
      </w:r>
      <w:r w:rsidRPr="00EF0E91">
        <w:rPr>
          <w:rFonts w:hint="eastAsia"/>
          <w:sz w:val="18"/>
        </w:rPr>
        <w:t>Bank Al-</w:t>
      </w:r>
      <w:proofErr w:type="spellStart"/>
      <w:r w:rsidRPr="00EF0E91">
        <w:rPr>
          <w:rFonts w:hint="eastAsia"/>
          <w:sz w:val="18"/>
        </w:rPr>
        <w:t>Magrib</w:t>
      </w:r>
      <w:proofErr w:type="spellEnd"/>
      <w:r w:rsidRPr="00EF0E91">
        <w:rPr>
          <w:rFonts w:hint="eastAsia"/>
          <w:sz w:val="18"/>
        </w:rPr>
        <w:t>(2009),</w:t>
      </w:r>
      <w:r w:rsidRPr="00EF0E91">
        <w:rPr>
          <w:rFonts w:hint="eastAsia"/>
          <w:i/>
          <w:sz w:val="18"/>
        </w:rPr>
        <w:t xml:space="preserve"> Rapport </w:t>
      </w:r>
      <w:proofErr w:type="spellStart"/>
      <w:r w:rsidRPr="00EF0E91">
        <w:rPr>
          <w:rFonts w:hint="eastAsia"/>
          <w:i/>
          <w:sz w:val="18"/>
        </w:rPr>
        <w:t>Annuel</w:t>
      </w:r>
      <w:proofErr w:type="spellEnd"/>
      <w:r w:rsidRPr="00EF0E91">
        <w:rPr>
          <w:rFonts w:hint="eastAsia"/>
          <w:sz w:val="18"/>
        </w:rPr>
        <w:t>より。</w:t>
      </w:r>
    </w:p>
    <w:p w:rsidR="00E0426E" w:rsidRDefault="00E0426E" w:rsidP="00AE2925">
      <w:pPr>
        <w:ind w:firstLineChars="50" w:firstLine="105"/>
        <w:jc w:val="center"/>
      </w:pPr>
    </w:p>
    <w:p w:rsidR="009D7802" w:rsidRDefault="009D7802" w:rsidP="00AE2925">
      <w:pPr>
        <w:ind w:firstLineChars="50" w:firstLine="105"/>
        <w:jc w:val="center"/>
      </w:pPr>
    </w:p>
    <w:p w:rsidR="00E0426E" w:rsidRDefault="00E0426E" w:rsidP="00E0426E">
      <w:pPr>
        <w:ind w:firstLineChars="50" w:firstLine="105"/>
        <w:jc w:val="center"/>
      </w:pPr>
      <w:r>
        <w:rPr>
          <w:rFonts w:hint="eastAsia"/>
        </w:rPr>
        <w:lastRenderedPageBreak/>
        <w:t>図表</w:t>
      </w:r>
      <w:r>
        <w:rPr>
          <w:rFonts w:hint="eastAsia"/>
        </w:rPr>
        <w:t>7</w:t>
      </w:r>
      <w:r>
        <w:rPr>
          <w:rFonts w:hint="eastAsia"/>
        </w:rPr>
        <w:t>：モロッコ銀行</w:t>
      </w:r>
      <w:r w:rsidR="0031044D">
        <w:rPr>
          <w:rFonts w:hint="eastAsia"/>
        </w:rPr>
        <w:t>セクター</w:t>
      </w:r>
      <w:r>
        <w:rPr>
          <w:rFonts w:hint="eastAsia"/>
        </w:rPr>
        <w:t>上位</w:t>
      </w:r>
      <w:r>
        <w:rPr>
          <w:rFonts w:hint="eastAsia"/>
        </w:rPr>
        <w:t>3</w:t>
      </w:r>
      <w:r>
        <w:rPr>
          <w:rFonts w:hint="eastAsia"/>
        </w:rPr>
        <w:t>行および</w:t>
      </w:r>
      <w:r>
        <w:rPr>
          <w:rFonts w:hint="eastAsia"/>
        </w:rPr>
        <w:t>5</w:t>
      </w:r>
      <w:r>
        <w:rPr>
          <w:rFonts w:hint="eastAsia"/>
        </w:rPr>
        <w:t>行の預金シェア</w:t>
      </w:r>
      <w:r>
        <w:rPr>
          <w:rFonts w:hint="eastAsia"/>
        </w:rPr>
        <w:t>(%)</w:t>
      </w:r>
    </w:p>
    <w:p w:rsidR="00E0426E" w:rsidRDefault="00E0426E" w:rsidP="00E0426E">
      <w:pPr>
        <w:ind w:firstLineChars="50" w:firstLine="105"/>
        <w:jc w:val="center"/>
      </w:pPr>
      <w:r>
        <w:rPr>
          <w:rFonts w:hint="eastAsia"/>
          <w:noProof/>
        </w:rPr>
        <w:drawing>
          <wp:inline distT="0" distB="0" distL="0" distR="0" wp14:anchorId="6CDBE851" wp14:editId="4B6C5526">
            <wp:extent cx="4143375" cy="26289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2628900"/>
                    </a:xfrm>
                    <a:prstGeom prst="rect">
                      <a:avLst/>
                    </a:prstGeom>
                    <a:noFill/>
                    <a:ln>
                      <a:noFill/>
                    </a:ln>
                  </pic:spPr>
                </pic:pic>
              </a:graphicData>
            </a:graphic>
          </wp:inline>
        </w:drawing>
      </w:r>
    </w:p>
    <w:p w:rsidR="00E0426E" w:rsidRPr="00EF0E91" w:rsidRDefault="00E0426E" w:rsidP="00EF0E91">
      <w:pPr>
        <w:ind w:firstLineChars="50" w:firstLine="90"/>
        <w:jc w:val="center"/>
        <w:rPr>
          <w:sz w:val="18"/>
        </w:rPr>
      </w:pPr>
      <w:r w:rsidRPr="00EF0E91">
        <w:rPr>
          <w:rFonts w:hint="eastAsia"/>
          <w:sz w:val="18"/>
        </w:rPr>
        <w:t>出所：</w:t>
      </w:r>
      <w:r w:rsidRPr="00EF0E91">
        <w:rPr>
          <w:rFonts w:hint="eastAsia"/>
          <w:sz w:val="18"/>
        </w:rPr>
        <w:t>Bank Al-</w:t>
      </w:r>
      <w:proofErr w:type="spellStart"/>
      <w:r w:rsidRPr="00EF0E91">
        <w:rPr>
          <w:rFonts w:hint="eastAsia"/>
          <w:sz w:val="18"/>
        </w:rPr>
        <w:t>Magrib</w:t>
      </w:r>
      <w:proofErr w:type="spellEnd"/>
      <w:r w:rsidRPr="00EF0E91">
        <w:rPr>
          <w:rFonts w:hint="eastAsia"/>
          <w:sz w:val="18"/>
        </w:rPr>
        <w:t>(2009),</w:t>
      </w:r>
      <w:r w:rsidRPr="00EF0E91">
        <w:rPr>
          <w:rFonts w:hint="eastAsia"/>
          <w:i/>
          <w:sz w:val="18"/>
        </w:rPr>
        <w:t xml:space="preserve"> Rapport </w:t>
      </w:r>
      <w:proofErr w:type="spellStart"/>
      <w:r w:rsidRPr="00EF0E91">
        <w:rPr>
          <w:rFonts w:hint="eastAsia"/>
          <w:i/>
          <w:sz w:val="18"/>
        </w:rPr>
        <w:t>Annuel</w:t>
      </w:r>
      <w:proofErr w:type="spellEnd"/>
      <w:r w:rsidRPr="00EF0E91">
        <w:rPr>
          <w:rFonts w:hint="eastAsia"/>
          <w:sz w:val="18"/>
        </w:rPr>
        <w:t>より。</w:t>
      </w:r>
    </w:p>
    <w:p w:rsidR="00E0426E" w:rsidRPr="00E0426E" w:rsidRDefault="00E0426E" w:rsidP="00AE2925">
      <w:pPr>
        <w:ind w:firstLineChars="50" w:firstLine="105"/>
        <w:jc w:val="center"/>
      </w:pPr>
    </w:p>
    <w:p w:rsidR="00D67740" w:rsidRDefault="00D67740" w:rsidP="009D7802"/>
    <w:p w:rsidR="0031044D" w:rsidRDefault="00E0426E" w:rsidP="0031044D">
      <w:pPr>
        <w:ind w:firstLineChars="50" w:firstLine="105"/>
        <w:jc w:val="center"/>
      </w:pPr>
      <w:r>
        <w:rPr>
          <w:rFonts w:hint="eastAsia"/>
        </w:rPr>
        <w:t>図表</w:t>
      </w:r>
      <w:r>
        <w:rPr>
          <w:rFonts w:hint="eastAsia"/>
        </w:rPr>
        <w:t>8</w:t>
      </w:r>
      <w:r>
        <w:rPr>
          <w:rFonts w:hint="eastAsia"/>
        </w:rPr>
        <w:t>：</w:t>
      </w:r>
      <w:r w:rsidR="0031044D">
        <w:rPr>
          <w:rFonts w:hint="eastAsia"/>
        </w:rPr>
        <w:t>モロッコ銀行セクターにおける所有構造別各種シェア</w:t>
      </w:r>
      <w:r w:rsidR="00E072BA">
        <w:rPr>
          <w:rFonts w:hint="eastAsia"/>
        </w:rPr>
        <w:t>(%)</w:t>
      </w:r>
    </w:p>
    <w:p w:rsidR="00E0426E" w:rsidRDefault="00E0426E" w:rsidP="00E0426E">
      <w:pPr>
        <w:ind w:firstLineChars="50" w:firstLine="105"/>
        <w:jc w:val="center"/>
      </w:pPr>
      <w:r>
        <w:rPr>
          <w:rFonts w:hint="eastAsia"/>
          <w:noProof/>
        </w:rPr>
        <w:drawing>
          <wp:inline distT="0" distB="0" distL="0" distR="0" wp14:anchorId="160B7809" wp14:editId="5108B3F4">
            <wp:extent cx="5400040" cy="196870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968707"/>
                    </a:xfrm>
                    <a:prstGeom prst="rect">
                      <a:avLst/>
                    </a:prstGeom>
                    <a:noFill/>
                    <a:ln>
                      <a:noFill/>
                    </a:ln>
                  </pic:spPr>
                </pic:pic>
              </a:graphicData>
            </a:graphic>
          </wp:inline>
        </w:drawing>
      </w:r>
    </w:p>
    <w:p w:rsidR="00E0426E" w:rsidRPr="00EF0E91" w:rsidRDefault="00E0426E" w:rsidP="00EF0E91">
      <w:pPr>
        <w:ind w:firstLineChars="50" w:firstLine="90"/>
        <w:jc w:val="center"/>
        <w:rPr>
          <w:sz w:val="18"/>
          <w:szCs w:val="18"/>
        </w:rPr>
      </w:pPr>
      <w:r w:rsidRPr="00EF0E91">
        <w:rPr>
          <w:rFonts w:hint="eastAsia"/>
          <w:sz w:val="18"/>
          <w:szCs w:val="18"/>
        </w:rPr>
        <w:t>出所：</w:t>
      </w:r>
      <w:r w:rsidRPr="00EF0E91">
        <w:rPr>
          <w:rFonts w:hint="eastAsia"/>
          <w:sz w:val="18"/>
          <w:szCs w:val="18"/>
        </w:rPr>
        <w:t>Bank Al-</w:t>
      </w:r>
      <w:proofErr w:type="spellStart"/>
      <w:r w:rsidRPr="00EF0E91">
        <w:rPr>
          <w:rFonts w:hint="eastAsia"/>
          <w:sz w:val="18"/>
          <w:szCs w:val="18"/>
        </w:rPr>
        <w:t>Magrib</w:t>
      </w:r>
      <w:proofErr w:type="spellEnd"/>
      <w:r w:rsidRPr="00EF0E91">
        <w:rPr>
          <w:rFonts w:hint="eastAsia"/>
          <w:sz w:val="18"/>
          <w:szCs w:val="18"/>
        </w:rPr>
        <w:t>(2009),</w:t>
      </w:r>
      <w:r w:rsidRPr="00EF0E91">
        <w:rPr>
          <w:rFonts w:hint="eastAsia"/>
          <w:i/>
          <w:sz w:val="18"/>
          <w:szCs w:val="18"/>
        </w:rPr>
        <w:t xml:space="preserve"> Rapport </w:t>
      </w:r>
      <w:proofErr w:type="spellStart"/>
      <w:r w:rsidRPr="00EF0E91">
        <w:rPr>
          <w:rFonts w:hint="eastAsia"/>
          <w:i/>
          <w:sz w:val="18"/>
          <w:szCs w:val="18"/>
        </w:rPr>
        <w:t>Annuel</w:t>
      </w:r>
      <w:proofErr w:type="spellEnd"/>
      <w:r w:rsidRPr="00EF0E91">
        <w:rPr>
          <w:rFonts w:hint="eastAsia"/>
          <w:sz w:val="18"/>
          <w:szCs w:val="18"/>
        </w:rPr>
        <w:t>より</w:t>
      </w:r>
      <w:r w:rsidR="00EF0E91" w:rsidRPr="00EF0E91">
        <w:rPr>
          <w:rFonts w:hint="eastAsia"/>
          <w:sz w:val="18"/>
          <w:szCs w:val="18"/>
        </w:rPr>
        <w:t>。</w:t>
      </w:r>
    </w:p>
    <w:p w:rsidR="00EF0E91" w:rsidRDefault="00EF0E91" w:rsidP="00E0426E">
      <w:pPr>
        <w:ind w:firstLineChars="50" w:firstLine="105"/>
        <w:jc w:val="center"/>
      </w:pPr>
    </w:p>
    <w:p w:rsidR="00D67740" w:rsidRPr="003B4937" w:rsidRDefault="005565D0" w:rsidP="007B1698">
      <w:r>
        <w:rPr>
          <w:rFonts w:hint="eastAsia"/>
        </w:rPr>
        <w:t xml:space="preserve">　</w:t>
      </w:r>
      <w:r>
        <w:rPr>
          <w:rFonts w:hint="eastAsia"/>
        </w:rPr>
        <w:t>EU</w:t>
      </w:r>
      <w:r w:rsidR="000943A5">
        <w:rPr>
          <w:rFonts w:hint="eastAsia"/>
        </w:rPr>
        <w:t>系</w:t>
      </w:r>
      <w:r>
        <w:rPr>
          <w:rFonts w:hint="eastAsia"/>
        </w:rPr>
        <w:t>銀行である</w:t>
      </w:r>
      <w:r>
        <w:rPr>
          <w:rFonts w:hint="eastAsia"/>
        </w:rPr>
        <w:t xml:space="preserve">Société </w:t>
      </w:r>
      <w:proofErr w:type="spellStart"/>
      <w:r>
        <w:rPr>
          <w:rFonts w:hint="eastAsia"/>
        </w:rPr>
        <w:t>Générale</w:t>
      </w:r>
      <w:proofErr w:type="spellEnd"/>
      <w:r>
        <w:rPr>
          <w:rFonts w:hint="eastAsia"/>
        </w:rPr>
        <w:t>および</w:t>
      </w:r>
      <w:r>
        <w:rPr>
          <w:rFonts w:hint="eastAsia"/>
        </w:rPr>
        <w:t>BNP Paribas(</w:t>
      </w:r>
      <w:r>
        <w:rPr>
          <w:rFonts w:hint="eastAsia"/>
        </w:rPr>
        <w:t>仏</w:t>
      </w:r>
      <w:r>
        <w:rPr>
          <w:rFonts w:hint="eastAsia"/>
        </w:rPr>
        <w:t>)</w:t>
      </w:r>
      <w:r>
        <w:rPr>
          <w:rFonts w:hint="eastAsia"/>
        </w:rPr>
        <w:t>、</w:t>
      </w:r>
      <w:r>
        <w:rPr>
          <w:rFonts w:hint="eastAsia"/>
        </w:rPr>
        <w:t>Santander(</w:t>
      </w:r>
      <w:r>
        <w:rPr>
          <w:rFonts w:hint="eastAsia"/>
        </w:rPr>
        <w:t>西</w:t>
      </w:r>
      <w:r>
        <w:rPr>
          <w:rFonts w:hint="eastAsia"/>
        </w:rPr>
        <w:t>)</w:t>
      </w:r>
      <w:r>
        <w:rPr>
          <w:rFonts w:hint="eastAsia"/>
        </w:rPr>
        <w:t>はモロッコの金融セクターに</w:t>
      </w:r>
      <w:r w:rsidR="000943A5">
        <w:rPr>
          <w:rFonts w:hint="eastAsia"/>
        </w:rPr>
        <w:t>参入し</w:t>
      </w:r>
      <w:r w:rsidR="00BD6E84">
        <w:rPr>
          <w:rFonts w:hint="eastAsia"/>
        </w:rPr>
        <w:t>、</w:t>
      </w:r>
      <w:r w:rsidR="000943A5">
        <w:rPr>
          <w:rFonts w:hint="eastAsia"/>
        </w:rPr>
        <w:t>上記の</w:t>
      </w:r>
      <w:proofErr w:type="spellStart"/>
      <w:r w:rsidR="000943A5">
        <w:rPr>
          <w:rFonts w:hint="eastAsia"/>
        </w:rPr>
        <w:t>Attijariwafa</w:t>
      </w:r>
      <w:proofErr w:type="spellEnd"/>
      <w:r w:rsidR="000943A5">
        <w:rPr>
          <w:rFonts w:hint="eastAsia"/>
        </w:rPr>
        <w:t>・</w:t>
      </w:r>
      <w:r w:rsidR="000943A5">
        <w:rPr>
          <w:rFonts w:hint="eastAsia"/>
        </w:rPr>
        <w:t>BMCE</w:t>
      </w:r>
      <w:r w:rsidR="00F671B8">
        <w:rPr>
          <w:rFonts w:hint="eastAsia"/>
        </w:rPr>
        <w:t>銀行</w:t>
      </w:r>
      <w:r w:rsidR="000943A5">
        <w:rPr>
          <w:rFonts w:hint="eastAsia"/>
        </w:rPr>
        <w:t>といった現地商業銀行への資本参加によりパートナーとなって</w:t>
      </w:r>
      <w:r w:rsidR="00F671B8">
        <w:rPr>
          <w:rFonts w:hint="eastAsia"/>
        </w:rPr>
        <w:t>いる</w:t>
      </w:r>
      <w:r w:rsidR="000943A5">
        <w:rPr>
          <w:rFonts w:hint="eastAsia"/>
        </w:rPr>
        <w:t>。</w:t>
      </w:r>
      <w:r w:rsidR="005F25EA">
        <w:rPr>
          <w:rFonts w:hint="eastAsia"/>
        </w:rPr>
        <w:t>2000</w:t>
      </w:r>
      <w:r w:rsidR="005F25EA">
        <w:rPr>
          <w:rFonts w:hint="eastAsia"/>
        </w:rPr>
        <w:t>年代前半から、</w:t>
      </w:r>
      <w:r w:rsidR="000943A5">
        <w:rPr>
          <w:rFonts w:hint="eastAsia"/>
        </w:rPr>
        <w:t>モロッコでは</w:t>
      </w:r>
      <w:r w:rsidR="005F25EA">
        <w:rPr>
          <w:rFonts w:hint="eastAsia"/>
        </w:rPr>
        <w:t>EU</w:t>
      </w:r>
      <w:r w:rsidR="005F25EA">
        <w:rPr>
          <w:rFonts w:hint="eastAsia"/>
        </w:rPr>
        <w:t>系銀行からの現地商業銀行への資本参加や買収が</w:t>
      </w:r>
      <w:r w:rsidR="00F671B8">
        <w:rPr>
          <w:rFonts w:hint="eastAsia"/>
        </w:rPr>
        <w:t>本格化し</w:t>
      </w:r>
      <w:r w:rsidR="005F25EA">
        <w:rPr>
          <w:rFonts w:hint="eastAsia"/>
        </w:rPr>
        <w:t>た。</w:t>
      </w:r>
    </w:p>
    <w:p w:rsidR="00D67740" w:rsidRDefault="00D67740" w:rsidP="00D67740">
      <w:pPr>
        <w:pStyle w:val="a9"/>
        <w:numPr>
          <w:ilvl w:val="0"/>
          <w:numId w:val="17"/>
        </w:numPr>
        <w:ind w:leftChars="0"/>
      </w:pPr>
      <w:r w:rsidRPr="00D67740">
        <w:rPr>
          <w:rFonts w:hint="eastAsia"/>
          <w:b/>
        </w:rPr>
        <w:t>Santander</w:t>
      </w:r>
      <w:r w:rsidRPr="00D67740">
        <w:rPr>
          <w:rFonts w:hint="eastAsia"/>
          <w:b/>
        </w:rPr>
        <w:t>（西）による</w:t>
      </w:r>
      <w:proofErr w:type="spellStart"/>
      <w:r w:rsidRPr="00D67740">
        <w:rPr>
          <w:rFonts w:hint="eastAsia"/>
          <w:b/>
        </w:rPr>
        <w:t>Attijariwafa</w:t>
      </w:r>
      <w:proofErr w:type="spellEnd"/>
      <w:r w:rsidRPr="00D67740">
        <w:rPr>
          <w:rFonts w:hint="eastAsia"/>
          <w:b/>
        </w:rPr>
        <w:t>への資本参加</w:t>
      </w:r>
      <w:r>
        <w:rPr>
          <w:rFonts w:hint="eastAsia"/>
        </w:rPr>
        <w:t>：</w:t>
      </w:r>
      <w:r w:rsidR="00134B7D">
        <w:rPr>
          <w:rFonts w:hint="eastAsia"/>
        </w:rPr>
        <w:t>2004</w:t>
      </w:r>
      <w:r w:rsidR="00134B7D">
        <w:rPr>
          <w:rFonts w:hint="eastAsia"/>
        </w:rPr>
        <w:t>年に</w:t>
      </w:r>
      <w:r w:rsidR="00F671B8">
        <w:rPr>
          <w:rFonts w:hint="eastAsia"/>
        </w:rPr>
        <w:t>Santander</w:t>
      </w:r>
      <w:r w:rsidR="00F671B8">
        <w:rPr>
          <w:rFonts w:hint="eastAsia"/>
        </w:rPr>
        <w:t>銀行は</w:t>
      </w:r>
      <w:proofErr w:type="spellStart"/>
      <w:r w:rsidR="00134B7D">
        <w:rPr>
          <w:rFonts w:hint="eastAsia"/>
        </w:rPr>
        <w:t>Attijariwafa</w:t>
      </w:r>
      <w:proofErr w:type="spellEnd"/>
      <w:r w:rsidR="00134B7D">
        <w:rPr>
          <w:rFonts w:hint="eastAsia"/>
        </w:rPr>
        <w:t>銀行の株式</w:t>
      </w:r>
      <w:r w:rsidR="00134B7D">
        <w:rPr>
          <w:rFonts w:hint="eastAsia"/>
        </w:rPr>
        <w:t>14.5%</w:t>
      </w:r>
      <w:r w:rsidR="00134B7D">
        <w:rPr>
          <w:rFonts w:hint="eastAsia"/>
        </w:rPr>
        <w:t>を取得し次席株主となった。これにより、</w:t>
      </w:r>
      <w:r w:rsidR="00134B7D">
        <w:rPr>
          <w:rFonts w:hint="eastAsia"/>
        </w:rPr>
        <w:t>2006</w:t>
      </w:r>
      <w:r w:rsidR="00134B7D">
        <w:rPr>
          <w:rFonts w:hint="eastAsia"/>
        </w:rPr>
        <w:t>年以降、</w:t>
      </w:r>
      <w:proofErr w:type="spellStart"/>
      <w:r w:rsidR="00134B7D">
        <w:rPr>
          <w:rFonts w:hint="eastAsia"/>
        </w:rPr>
        <w:t>Attijariwafa</w:t>
      </w:r>
      <w:proofErr w:type="spellEnd"/>
      <w:r w:rsidR="00134B7D">
        <w:rPr>
          <w:rFonts w:hint="eastAsia"/>
        </w:rPr>
        <w:t>銀行は資産ランキングにおいても軒並み第</w:t>
      </w:r>
      <w:r w:rsidR="00134B7D">
        <w:rPr>
          <w:rFonts w:hint="eastAsia"/>
        </w:rPr>
        <w:t>1</w:t>
      </w:r>
      <w:r w:rsidR="00134B7D">
        <w:rPr>
          <w:rFonts w:hint="eastAsia"/>
        </w:rPr>
        <w:t>位を維持しておりリーディン</w:t>
      </w:r>
      <w:r w:rsidR="00134B7D">
        <w:rPr>
          <w:rFonts w:hint="eastAsia"/>
        </w:rPr>
        <w:lastRenderedPageBreak/>
        <w:t>グバンクとなっている</w:t>
      </w:r>
      <w:r w:rsidR="00134B7D">
        <w:rPr>
          <w:rStyle w:val="ac"/>
        </w:rPr>
        <w:footnoteReference w:id="33"/>
      </w:r>
      <w:r w:rsidR="00134B7D">
        <w:rPr>
          <w:rFonts w:hint="eastAsia"/>
        </w:rPr>
        <w:t>。</w:t>
      </w:r>
      <w:r w:rsidR="00537EF0">
        <w:rPr>
          <w:rFonts w:hint="eastAsia"/>
        </w:rPr>
        <w:t>2005</w:t>
      </w:r>
      <w:r w:rsidR="00537EF0">
        <w:rPr>
          <w:rFonts w:hint="eastAsia"/>
        </w:rPr>
        <w:t>年以降、</w:t>
      </w:r>
      <w:r w:rsidR="009A045A">
        <w:rPr>
          <w:rFonts w:hint="eastAsia"/>
        </w:rPr>
        <w:t>同銀行は</w:t>
      </w:r>
      <w:r w:rsidR="00537EF0">
        <w:rPr>
          <w:rFonts w:hint="eastAsia"/>
        </w:rPr>
        <w:t>チュニジア</w:t>
      </w:r>
      <w:r w:rsidR="00537EF0">
        <w:rPr>
          <w:rFonts w:hint="eastAsia"/>
        </w:rPr>
        <w:t>(</w:t>
      </w:r>
      <w:proofErr w:type="spellStart"/>
      <w:r w:rsidR="00537EF0">
        <w:rPr>
          <w:rFonts w:hint="eastAsia"/>
        </w:rPr>
        <w:t>Banque</w:t>
      </w:r>
      <w:proofErr w:type="spellEnd"/>
      <w:r w:rsidR="00537EF0">
        <w:rPr>
          <w:rFonts w:hint="eastAsia"/>
        </w:rPr>
        <w:t xml:space="preserve"> du </w:t>
      </w:r>
      <w:proofErr w:type="spellStart"/>
      <w:r w:rsidR="00537EF0">
        <w:rPr>
          <w:rFonts w:hint="eastAsia"/>
        </w:rPr>
        <w:t>Sud</w:t>
      </w:r>
      <w:proofErr w:type="spellEnd"/>
      <w:r w:rsidR="00537EF0">
        <w:rPr>
          <w:rFonts w:hint="eastAsia"/>
        </w:rPr>
        <w:t>)</w:t>
      </w:r>
      <w:r w:rsidR="00537EF0">
        <w:rPr>
          <w:rFonts w:hint="eastAsia"/>
        </w:rPr>
        <w:t>やセネガルの銀行を買収し、近隣地域での支店網を急速に拡大しつつある。</w:t>
      </w:r>
      <w:r w:rsidR="006F2116">
        <w:rPr>
          <w:rFonts w:hint="eastAsia"/>
        </w:rPr>
        <w:t>しかし、世界金融危機の影響により、</w:t>
      </w:r>
      <w:r w:rsidR="006F2116">
        <w:rPr>
          <w:rFonts w:hint="eastAsia"/>
        </w:rPr>
        <w:t>2009</w:t>
      </w:r>
      <w:r w:rsidR="006F2116">
        <w:rPr>
          <w:rFonts w:hint="eastAsia"/>
        </w:rPr>
        <w:t>年にはモロッコ王室系グループの</w:t>
      </w:r>
      <w:r w:rsidR="006F2116">
        <w:rPr>
          <w:rFonts w:hint="eastAsia"/>
        </w:rPr>
        <w:t>SNI</w:t>
      </w:r>
      <w:r w:rsidR="006F2116">
        <w:rPr>
          <w:rFonts w:hint="eastAsia"/>
        </w:rPr>
        <w:t>および</w:t>
      </w:r>
      <w:r w:rsidR="006F2116">
        <w:rPr>
          <w:rFonts w:hint="eastAsia"/>
        </w:rPr>
        <w:t>ONA</w:t>
      </w:r>
      <w:r w:rsidR="006F2116">
        <w:rPr>
          <w:rFonts w:hint="eastAsia"/>
        </w:rPr>
        <w:t>が筆頭株主</w:t>
      </w:r>
      <w:r w:rsidR="006F2116">
        <w:rPr>
          <w:rFonts w:hint="eastAsia"/>
        </w:rPr>
        <w:t>(</w:t>
      </w:r>
      <w:r w:rsidR="006F2116">
        <w:rPr>
          <w:rFonts w:hint="eastAsia"/>
        </w:rPr>
        <w:t>約</w:t>
      </w:r>
      <w:r w:rsidR="006F2116">
        <w:rPr>
          <w:rFonts w:hint="eastAsia"/>
        </w:rPr>
        <w:t>43%</w:t>
      </w:r>
      <w:r w:rsidR="006F2116">
        <w:rPr>
          <w:rFonts w:hint="eastAsia"/>
        </w:rPr>
        <w:t>の株式を保有</w:t>
      </w:r>
      <w:r w:rsidR="006F2116">
        <w:rPr>
          <w:rFonts w:hint="eastAsia"/>
        </w:rPr>
        <w:t>)</w:t>
      </w:r>
      <w:r w:rsidR="006F2116">
        <w:rPr>
          <w:rFonts w:hint="eastAsia"/>
        </w:rPr>
        <w:t>となり、</w:t>
      </w:r>
      <w:r w:rsidR="006F2116">
        <w:rPr>
          <w:rFonts w:hint="eastAsia"/>
        </w:rPr>
        <w:t>Santander</w:t>
      </w:r>
      <w:r w:rsidR="006F2116">
        <w:rPr>
          <w:rFonts w:hint="eastAsia"/>
        </w:rPr>
        <w:t>の取得株式は</w:t>
      </w:r>
      <w:r w:rsidR="006F2116">
        <w:rPr>
          <w:rFonts w:hint="eastAsia"/>
        </w:rPr>
        <w:t>4.55%</w:t>
      </w:r>
      <w:r w:rsidR="006F2116">
        <w:rPr>
          <w:rFonts w:hint="eastAsia"/>
        </w:rPr>
        <w:t>となっている。</w:t>
      </w:r>
      <w:proofErr w:type="spellStart"/>
      <w:r w:rsidR="006F2116">
        <w:rPr>
          <w:rFonts w:hint="eastAsia"/>
        </w:rPr>
        <w:t>Attijariwafa</w:t>
      </w:r>
      <w:proofErr w:type="spellEnd"/>
      <w:r w:rsidR="006F2116">
        <w:rPr>
          <w:rFonts w:hint="eastAsia"/>
        </w:rPr>
        <w:t>銀行の年次報告書によれば、</w:t>
      </w:r>
      <w:r w:rsidR="006F2116">
        <w:rPr>
          <w:rFonts w:hint="eastAsia"/>
        </w:rPr>
        <w:t>2009</w:t>
      </w:r>
      <w:r w:rsidR="006F2116">
        <w:rPr>
          <w:rFonts w:hint="eastAsia"/>
        </w:rPr>
        <w:t>年度の</w:t>
      </w:r>
      <w:r w:rsidR="006F2116">
        <w:rPr>
          <w:rFonts w:hint="eastAsia"/>
        </w:rPr>
        <w:t>ROA</w:t>
      </w:r>
      <w:r w:rsidR="006F2116">
        <w:rPr>
          <w:rFonts w:hint="eastAsia"/>
        </w:rPr>
        <w:t>は</w:t>
      </w:r>
      <w:r w:rsidR="006F2116">
        <w:rPr>
          <w:rFonts w:hint="eastAsia"/>
        </w:rPr>
        <w:t>1.6%</w:t>
      </w:r>
      <w:r w:rsidR="006F2116">
        <w:rPr>
          <w:rFonts w:hint="eastAsia"/>
        </w:rPr>
        <w:t>、</w:t>
      </w:r>
      <w:r w:rsidR="006F2116">
        <w:rPr>
          <w:rFonts w:hint="eastAsia"/>
        </w:rPr>
        <w:t>ROE</w:t>
      </w:r>
      <w:r w:rsidR="006F2116">
        <w:rPr>
          <w:rFonts w:hint="eastAsia"/>
        </w:rPr>
        <w:t>は</w:t>
      </w:r>
      <w:r w:rsidR="006F2116">
        <w:rPr>
          <w:rFonts w:hint="eastAsia"/>
        </w:rPr>
        <w:t>22.7%</w:t>
      </w:r>
      <w:r w:rsidR="006F2116">
        <w:rPr>
          <w:rFonts w:hint="eastAsia"/>
        </w:rPr>
        <w:t>を記録している。</w:t>
      </w:r>
    </w:p>
    <w:p w:rsidR="00D67740" w:rsidRDefault="00D67740" w:rsidP="00C862E6">
      <w:pPr>
        <w:pStyle w:val="a9"/>
        <w:numPr>
          <w:ilvl w:val="0"/>
          <w:numId w:val="17"/>
        </w:numPr>
        <w:ind w:leftChars="0"/>
      </w:pPr>
      <w:proofErr w:type="spellStart"/>
      <w:r w:rsidRPr="00D67740">
        <w:rPr>
          <w:rFonts w:hint="eastAsia"/>
          <w:b/>
        </w:rPr>
        <w:t>Crédit</w:t>
      </w:r>
      <w:proofErr w:type="spellEnd"/>
      <w:r w:rsidRPr="00D67740">
        <w:rPr>
          <w:rFonts w:hint="eastAsia"/>
          <w:b/>
        </w:rPr>
        <w:t xml:space="preserve"> </w:t>
      </w:r>
      <w:proofErr w:type="spellStart"/>
      <w:r w:rsidRPr="00D67740">
        <w:rPr>
          <w:rFonts w:hint="eastAsia"/>
          <w:b/>
        </w:rPr>
        <w:t>Mutuel</w:t>
      </w:r>
      <w:proofErr w:type="spellEnd"/>
      <w:r w:rsidRPr="00D67740">
        <w:rPr>
          <w:rFonts w:hint="eastAsia"/>
          <w:b/>
        </w:rPr>
        <w:t xml:space="preserve"> (</w:t>
      </w:r>
      <w:r w:rsidRPr="00D67740">
        <w:rPr>
          <w:rFonts w:hint="eastAsia"/>
          <w:b/>
        </w:rPr>
        <w:t>仏</w:t>
      </w:r>
      <w:r w:rsidRPr="00D67740">
        <w:rPr>
          <w:rFonts w:hint="eastAsia"/>
          <w:b/>
        </w:rPr>
        <w:t>)</w:t>
      </w:r>
      <w:r w:rsidRPr="00D67740">
        <w:rPr>
          <w:rFonts w:hint="eastAsia"/>
          <w:b/>
        </w:rPr>
        <w:t>による</w:t>
      </w:r>
      <w:r w:rsidRPr="00D67740">
        <w:rPr>
          <w:rFonts w:hint="eastAsia"/>
          <w:b/>
        </w:rPr>
        <w:t>BMCE</w:t>
      </w:r>
      <w:r w:rsidRPr="00D67740">
        <w:rPr>
          <w:rFonts w:hint="eastAsia"/>
          <w:b/>
        </w:rPr>
        <w:t>銀行への資本参加</w:t>
      </w:r>
      <w:r>
        <w:rPr>
          <w:rFonts w:hint="eastAsia"/>
        </w:rPr>
        <w:t>：</w:t>
      </w:r>
      <w:r w:rsidR="006F2116">
        <w:rPr>
          <w:rFonts w:hint="eastAsia"/>
        </w:rPr>
        <w:t>90</w:t>
      </w:r>
      <w:r w:rsidR="006F2116">
        <w:rPr>
          <w:rFonts w:hint="eastAsia"/>
        </w:rPr>
        <w:t>年代、</w:t>
      </w:r>
      <w:r w:rsidR="007B1698">
        <w:rPr>
          <w:rFonts w:hint="eastAsia"/>
        </w:rPr>
        <w:t>民営化直後の</w:t>
      </w:r>
      <w:r w:rsidR="00537EF0">
        <w:rPr>
          <w:rFonts w:hint="eastAsia"/>
        </w:rPr>
        <w:t>BMCE</w:t>
      </w:r>
      <w:r w:rsidR="007B1698">
        <w:rPr>
          <w:rFonts w:hint="eastAsia"/>
        </w:rPr>
        <w:t>銀行は、アメリカの</w:t>
      </w:r>
      <w:proofErr w:type="spellStart"/>
      <w:r w:rsidR="007B1698">
        <w:rPr>
          <w:rFonts w:hint="eastAsia"/>
        </w:rPr>
        <w:t>Morganstanley</w:t>
      </w:r>
      <w:proofErr w:type="spellEnd"/>
      <w:r w:rsidR="007B1698">
        <w:rPr>
          <w:rFonts w:hint="eastAsia"/>
        </w:rPr>
        <w:t>等が株式を取得したが、</w:t>
      </w:r>
      <w:r w:rsidR="007B1698">
        <w:rPr>
          <w:rFonts w:hint="eastAsia"/>
        </w:rPr>
        <w:t>2007</w:t>
      </w:r>
      <w:r w:rsidR="007B1698">
        <w:rPr>
          <w:rFonts w:hint="eastAsia"/>
        </w:rPr>
        <w:t>年にスペインの貯蓄銀行である</w:t>
      </w:r>
      <w:proofErr w:type="spellStart"/>
      <w:r w:rsidR="007B1698">
        <w:rPr>
          <w:rFonts w:hint="eastAsia"/>
        </w:rPr>
        <w:t>Caja</w:t>
      </w:r>
      <w:proofErr w:type="spellEnd"/>
      <w:r w:rsidR="007B1698">
        <w:rPr>
          <w:rFonts w:hint="eastAsia"/>
        </w:rPr>
        <w:t xml:space="preserve"> de </w:t>
      </w:r>
      <w:proofErr w:type="spellStart"/>
      <w:r w:rsidR="007B1698">
        <w:rPr>
          <w:rFonts w:hint="eastAsia"/>
        </w:rPr>
        <w:t>Ahross</w:t>
      </w:r>
      <w:proofErr w:type="spellEnd"/>
      <w:r w:rsidR="007B1698">
        <w:rPr>
          <w:rFonts w:hint="eastAsia"/>
        </w:rPr>
        <w:t xml:space="preserve"> de la </w:t>
      </w:r>
      <w:proofErr w:type="spellStart"/>
      <w:r w:rsidR="007B1698">
        <w:rPr>
          <w:rFonts w:hint="eastAsia"/>
        </w:rPr>
        <w:t>Mediterraneo</w:t>
      </w:r>
      <w:proofErr w:type="spellEnd"/>
      <w:r w:rsidR="007B1698">
        <w:rPr>
          <w:rFonts w:hint="eastAsia"/>
        </w:rPr>
        <w:t>が</w:t>
      </w:r>
      <w:r w:rsidR="007B1698">
        <w:rPr>
          <w:rFonts w:hint="eastAsia"/>
        </w:rPr>
        <w:t>5%</w:t>
      </w:r>
      <w:r w:rsidR="007B1698">
        <w:rPr>
          <w:rFonts w:hint="eastAsia"/>
        </w:rPr>
        <w:t>、翌</w:t>
      </w:r>
      <w:r w:rsidR="007B1698">
        <w:rPr>
          <w:rFonts w:hint="eastAsia"/>
        </w:rPr>
        <w:t>2008</w:t>
      </w:r>
      <w:r w:rsidR="007B1698">
        <w:rPr>
          <w:rFonts w:hint="eastAsia"/>
        </w:rPr>
        <w:t>年にはフランスの</w:t>
      </w:r>
      <w:proofErr w:type="spellStart"/>
      <w:r w:rsidR="007B1698">
        <w:rPr>
          <w:rFonts w:hint="eastAsia"/>
        </w:rPr>
        <w:t>Crédit</w:t>
      </w:r>
      <w:proofErr w:type="spellEnd"/>
      <w:r w:rsidR="007B1698">
        <w:rPr>
          <w:rFonts w:hint="eastAsia"/>
        </w:rPr>
        <w:t xml:space="preserve"> </w:t>
      </w:r>
      <w:proofErr w:type="spellStart"/>
      <w:r w:rsidR="007B1698">
        <w:rPr>
          <w:rFonts w:hint="eastAsia"/>
        </w:rPr>
        <w:t>Mutuel</w:t>
      </w:r>
      <w:proofErr w:type="spellEnd"/>
      <w:r w:rsidR="007B1698">
        <w:rPr>
          <w:rFonts w:hint="eastAsia"/>
        </w:rPr>
        <w:t>が</w:t>
      </w:r>
      <w:r w:rsidR="007B1698">
        <w:rPr>
          <w:rFonts w:hint="eastAsia"/>
        </w:rPr>
        <w:t>15%</w:t>
      </w:r>
      <w:r w:rsidR="007B1698">
        <w:rPr>
          <w:rFonts w:hint="eastAsia"/>
        </w:rPr>
        <w:t>を取得している。</w:t>
      </w:r>
      <w:proofErr w:type="spellStart"/>
      <w:r w:rsidR="007B1698">
        <w:rPr>
          <w:rFonts w:hint="eastAsia"/>
        </w:rPr>
        <w:t>Crédit</w:t>
      </w:r>
      <w:proofErr w:type="spellEnd"/>
      <w:r w:rsidR="007B1698">
        <w:rPr>
          <w:rFonts w:hint="eastAsia"/>
        </w:rPr>
        <w:t xml:space="preserve"> </w:t>
      </w:r>
      <w:proofErr w:type="spellStart"/>
      <w:r w:rsidR="007B1698">
        <w:rPr>
          <w:rFonts w:hint="eastAsia"/>
        </w:rPr>
        <w:t>Mutuel</w:t>
      </w:r>
      <w:proofErr w:type="spellEnd"/>
      <w:r w:rsidR="007B1698">
        <w:rPr>
          <w:rFonts w:hint="eastAsia"/>
        </w:rPr>
        <w:t>は</w:t>
      </w:r>
      <w:r w:rsidR="007B1698">
        <w:rPr>
          <w:rFonts w:hint="eastAsia"/>
        </w:rPr>
        <w:t>2009</w:t>
      </w:r>
      <w:r w:rsidR="007B1698">
        <w:rPr>
          <w:rFonts w:hint="eastAsia"/>
        </w:rPr>
        <w:t>年には</w:t>
      </w:r>
      <w:r w:rsidR="007B1698">
        <w:rPr>
          <w:rFonts w:hint="eastAsia"/>
        </w:rPr>
        <w:t>19.9%</w:t>
      </w:r>
      <w:r w:rsidR="006F2116">
        <w:rPr>
          <w:rFonts w:hint="eastAsia"/>
        </w:rPr>
        <w:t>まで株式保有率を</w:t>
      </w:r>
      <w:r w:rsidR="007B1698">
        <w:rPr>
          <w:rFonts w:hint="eastAsia"/>
        </w:rPr>
        <w:t>引き上げている。</w:t>
      </w:r>
    </w:p>
    <w:p w:rsidR="00D67740" w:rsidRDefault="00D67740" w:rsidP="00C862E6">
      <w:pPr>
        <w:pStyle w:val="a9"/>
        <w:numPr>
          <w:ilvl w:val="0"/>
          <w:numId w:val="17"/>
        </w:numPr>
        <w:ind w:leftChars="0"/>
      </w:pPr>
      <w:r w:rsidRPr="00D67740">
        <w:rPr>
          <w:rFonts w:hint="eastAsia"/>
          <w:b/>
        </w:rPr>
        <w:t>BNP Paribas(</w:t>
      </w:r>
      <w:r w:rsidRPr="00D67740">
        <w:rPr>
          <w:rFonts w:hint="eastAsia"/>
          <w:b/>
        </w:rPr>
        <w:t>仏</w:t>
      </w:r>
      <w:r w:rsidRPr="00D67740">
        <w:rPr>
          <w:rFonts w:hint="eastAsia"/>
          <w:b/>
        </w:rPr>
        <w:t>)</w:t>
      </w:r>
      <w:r>
        <w:rPr>
          <w:rFonts w:hint="eastAsia"/>
          <w:b/>
        </w:rPr>
        <w:t>による</w:t>
      </w:r>
      <w:r>
        <w:rPr>
          <w:rFonts w:hint="eastAsia"/>
          <w:b/>
        </w:rPr>
        <w:t>BMCI</w:t>
      </w:r>
      <w:r w:rsidRPr="00D67740">
        <w:rPr>
          <w:rFonts w:hint="eastAsia"/>
          <w:b/>
        </w:rPr>
        <w:t>の現地展開</w:t>
      </w:r>
      <w:r>
        <w:rPr>
          <w:rFonts w:hint="eastAsia"/>
        </w:rPr>
        <w:t>：</w:t>
      </w:r>
      <w:r w:rsidR="009A045A">
        <w:rPr>
          <w:rFonts w:hint="eastAsia"/>
        </w:rPr>
        <w:t xml:space="preserve">BNP Paribas </w:t>
      </w:r>
      <w:r w:rsidR="009A045A">
        <w:rPr>
          <w:rFonts w:hint="eastAsia"/>
        </w:rPr>
        <w:t>グループの</w:t>
      </w:r>
      <w:r w:rsidR="009A045A">
        <w:rPr>
          <w:rFonts w:hint="eastAsia"/>
        </w:rPr>
        <w:t>BMCI</w:t>
      </w:r>
      <w:r w:rsidR="009A045A">
        <w:rPr>
          <w:rFonts w:hint="eastAsia"/>
        </w:rPr>
        <w:t>銀行は、モロッコでリテール業務を展開する</w:t>
      </w:r>
      <w:r w:rsidR="009A045A">
        <w:rPr>
          <w:rFonts w:hint="eastAsia"/>
        </w:rPr>
        <w:t>EU</w:t>
      </w:r>
      <w:r w:rsidR="009A045A">
        <w:rPr>
          <w:rFonts w:hint="eastAsia"/>
        </w:rPr>
        <w:t>系銀行の草分け的存在である。</w:t>
      </w:r>
      <w:r w:rsidR="00744566">
        <w:rPr>
          <w:rFonts w:hint="eastAsia"/>
        </w:rPr>
        <w:t>2001</w:t>
      </w:r>
      <w:r w:rsidR="00744566">
        <w:rPr>
          <w:rFonts w:hint="eastAsia"/>
        </w:rPr>
        <w:t>年に</w:t>
      </w:r>
      <w:proofErr w:type="spellStart"/>
      <w:r w:rsidR="00744566">
        <w:rPr>
          <w:rFonts w:hint="eastAsia"/>
        </w:rPr>
        <w:t>Amro</w:t>
      </w:r>
      <w:proofErr w:type="spellEnd"/>
      <w:r w:rsidR="00744566">
        <w:rPr>
          <w:rFonts w:hint="eastAsia"/>
        </w:rPr>
        <w:t xml:space="preserve"> Bank </w:t>
      </w:r>
      <w:r w:rsidR="00744566">
        <w:rPr>
          <w:rFonts w:hint="eastAsia"/>
        </w:rPr>
        <w:t>グループの現地子会社を買収し、事業を拡大した。</w:t>
      </w:r>
      <w:r w:rsidR="00B231EF">
        <w:rPr>
          <w:rFonts w:hint="eastAsia"/>
        </w:rPr>
        <w:t>2008</w:t>
      </w:r>
      <w:r w:rsidR="00B231EF">
        <w:rPr>
          <w:rFonts w:hint="eastAsia"/>
        </w:rPr>
        <w:t>年および</w:t>
      </w:r>
      <w:r w:rsidR="00B231EF">
        <w:rPr>
          <w:rFonts w:hint="eastAsia"/>
        </w:rPr>
        <w:t xml:space="preserve">2009 </w:t>
      </w:r>
      <w:r w:rsidR="00B231EF">
        <w:rPr>
          <w:rFonts w:hint="eastAsia"/>
        </w:rPr>
        <w:t>年は世界経済危機の影響により</w:t>
      </w:r>
      <w:r w:rsidR="00351F39">
        <w:rPr>
          <w:rFonts w:hint="eastAsia"/>
        </w:rPr>
        <w:t>業績不振</w:t>
      </w:r>
      <w:r w:rsidR="00744566">
        <w:rPr>
          <w:rFonts w:hint="eastAsia"/>
        </w:rPr>
        <w:t>に</w:t>
      </w:r>
      <w:r w:rsidR="00351F39">
        <w:rPr>
          <w:rFonts w:hint="eastAsia"/>
        </w:rPr>
        <w:t>陥っているが、モロッコ全土で広範囲に支店を展開し</w:t>
      </w:r>
      <w:r w:rsidR="00744566">
        <w:rPr>
          <w:rFonts w:hint="eastAsia"/>
        </w:rPr>
        <w:t>ている。</w:t>
      </w:r>
    </w:p>
    <w:p w:rsidR="003B4937" w:rsidRDefault="00D67740" w:rsidP="00C862E6">
      <w:pPr>
        <w:pStyle w:val="a9"/>
        <w:numPr>
          <w:ilvl w:val="0"/>
          <w:numId w:val="17"/>
        </w:numPr>
        <w:ind w:leftChars="0"/>
      </w:pPr>
      <w:r w:rsidRPr="00D67740">
        <w:rPr>
          <w:rFonts w:hint="eastAsia"/>
          <w:b/>
        </w:rPr>
        <w:t xml:space="preserve">Credit du </w:t>
      </w:r>
      <w:proofErr w:type="spellStart"/>
      <w:r w:rsidRPr="00D67740">
        <w:rPr>
          <w:rFonts w:hint="eastAsia"/>
          <w:b/>
        </w:rPr>
        <w:t>Maroc</w:t>
      </w:r>
      <w:proofErr w:type="spellEnd"/>
      <w:r w:rsidRPr="00D67740">
        <w:rPr>
          <w:rFonts w:hint="eastAsia"/>
          <w:b/>
        </w:rPr>
        <w:t xml:space="preserve"> (</w:t>
      </w:r>
      <w:r w:rsidRPr="00D67740">
        <w:rPr>
          <w:rFonts w:hint="eastAsia"/>
          <w:b/>
        </w:rPr>
        <w:t>仏</w:t>
      </w:r>
      <w:r w:rsidRPr="00D67740">
        <w:rPr>
          <w:rFonts w:hint="eastAsia"/>
          <w:b/>
        </w:rPr>
        <w:t>)</w:t>
      </w:r>
      <w:r w:rsidR="00B20FA6">
        <w:rPr>
          <w:rFonts w:hint="eastAsia"/>
          <w:b/>
        </w:rPr>
        <w:t>による</w:t>
      </w:r>
      <w:r w:rsidR="000A3AB8">
        <w:rPr>
          <w:rFonts w:hint="eastAsia"/>
          <w:b/>
        </w:rPr>
        <w:t>現地展開</w:t>
      </w:r>
      <w:r>
        <w:rPr>
          <w:rFonts w:hint="eastAsia"/>
        </w:rPr>
        <w:t>：</w:t>
      </w:r>
      <w:r w:rsidR="000A3AB8">
        <w:rPr>
          <w:rFonts w:hint="eastAsia"/>
        </w:rPr>
        <w:t>1929</w:t>
      </w:r>
      <w:r w:rsidR="000A3AB8">
        <w:rPr>
          <w:rFonts w:hint="eastAsia"/>
        </w:rPr>
        <w:t>年に創業された</w:t>
      </w:r>
      <w:r w:rsidR="000A3AB8">
        <w:rPr>
          <w:rFonts w:hint="eastAsia"/>
        </w:rPr>
        <w:t xml:space="preserve">Credit du </w:t>
      </w:r>
      <w:proofErr w:type="spellStart"/>
      <w:r w:rsidR="000A3AB8">
        <w:rPr>
          <w:rFonts w:hint="eastAsia"/>
        </w:rPr>
        <w:t>Maroc</w:t>
      </w:r>
      <w:proofErr w:type="spellEnd"/>
      <w:r w:rsidR="000A3AB8">
        <w:rPr>
          <w:rFonts w:hint="eastAsia"/>
        </w:rPr>
        <w:t>は同国でリテール業務にも力を入れている。</w:t>
      </w:r>
      <w:r w:rsidR="006F2116">
        <w:rPr>
          <w:rFonts w:hint="eastAsia"/>
        </w:rPr>
        <w:t xml:space="preserve">Credit du </w:t>
      </w:r>
      <w:proofErr w:type="spellStart"/>
      <w:r w:rsidR="006F2116">
        <w:rPr>
          <w:rFonts w:hint="eastAsia"/>
        </w:rPr>
        <w:t>Maroc</w:t>
      </w:r>
      <w:proofErr w:type="spellEnd"/>
      <w:r w:rsidR="006F2116">
        <w:rPr>
          <w:rFonts w:hint="eastAsia"/>
        </w:rPr>
        <w:t>は、フランスの</w:t>
      </w:r>
      <w:r w:rsidR="006F2116">
        <w:rPr>
          <w:rFonts w:hint="eastAsia"/>
        </w:rPr>
        <w:t xml:space="preserve">Credit </w:t>
      </w:r>
      <w:proofErr w:type="spellStart"/>
      <w:r w:rsidR="006F2116">
        <w:rPr>
          <w:rFonts w:hint="eastAsia"/>
        </w:rPr>
        <w:t>Agricole</w:t>
      </w:r>
      <w:proofErr w:type="spellEnd"/>
      <w:r w:rsidR="006F2116">
        <w:rPr>
          <w:rFonts w:hint="eastAsia"/>
        </w:rPr>
        <w:t>が株式を</w:t>
      </w:r>
      <w:r w:rsidR="006F2116">
        <w:rPr>
          <w:rFonts w:hint="eastAsia"/>
        </w:rPr>
        <w:t>77</w:t>
      </w:r>
      <w:r w:rsidR="006F2116">
        <w:rPr>
          <w:rFonts w:hint="eastAsia"/>
        </w:rPr>
        <w:t>％保有してお</w:t>
      </w:r>
      <w:r w:rsidR="00B231EF">
        <w:rPr>
          <w:rFonts w:hint="eastAsia"/>
        </w:rPr>
        <w:t>り、主にモロッコの農業部門への貸付を</w:t>
      </w:r>
      <w:r w:rsidR="00351F39">
        <w:rPr>
          <w:rFonts w:hint="eastAsia"/>
        </w:rPr>
        <w:t>担っている</w:t>
      </w:r>
      <w:r w:rsidR="006F2116">
        <w:rPr>
          <w:rFonts w:hint="eastAsia"/>
        </w:rPr>
        <w:t>。</w:t>
      </w:r>
      <w:r w:rsidR="00351F39">
        <w:rPr>
          <w:rFonts w:hint="eastAsia"/>
        </w:rPr>
        <w:t>また、通常の支店業務に加えてエレクトロニック・バンキングなどのサービスにも力を入れている</w:t>
      </w:r>
      <w:r w:rsidR="00351F39">
        <w:rPr>
          <w:rStyle w:val="ac"/>
        </w:rPr>
        <w:footnoteReference w:id="34"/>
      </w:r>
      <w:r w:rsidR="00351F39">
        <w:rPr>
          <w:rFonts w:hint="eastAsia"/>
        </w:rPr>
        <w:t>。</w:t>
      </w:r>
    </w:p>
    <w:p w:rsidR="000943A5" w:rsidRDefault="00C862E6" w:rsidP="003B4937">
      <w:pPr>
        <w:ind w:firstLineChars="100" w:firstLine="210"/>
      </w:pPr>
      <w:r>
        <w:rPr>
          <w:rFonts w:hint="eastAsia"/>
        </w:rPr>
        <w:t>なお</w:t>
      </w:r>
      <w:r w:rsidR="009A045A">
        <w:rPr>
          <w:rFonts w:hint="eastAsia"/>
        </w:rPr>
        <w:t>、現地商業銀行のうち</w:t>
      </w:r>
      <w:r w:rsidR="009A045A">
        <w:rPr>
          <w:rFonts w:hint="eastAsia"/>
        </w:rPr>
        <w:t>100%</w:t>
      </w:r>
      <w:r w:rsidR="009A045A">
        <w:rPr>
          <w:rFonts w:hint="eastAsia"/>
        </w:rPr>
        <w:t>現地資本で運営されているのは、</w:t>
      </w:r>
      <w:r w:rsidR="009A045A">
        <w:rPr>
          <w:rFonts w:hint="eastAsia"/>
        </w:rPr>
        <w:t>2002</w:t>
      </w:r>
      <w:r w:rsidR="009A045A">
        <w:rPr>
          <w:rFonts w:hint="eastAsia"/>
        </w:rPr>
        <w:t>年まで国有銀行として業務を展開していいた</w:t>
      </w:r>
      <w:r w:rsidR="009A045A">
        <w:rPr>
          <w:rFonts w:hint="eastAsia"/>
        </w:rPr>
        <w:t xml:space="preserve">Bank </w:t>
      </w:r>
      <w:proofErr w:type="spellStart"/>
      <w:r w:rsidR="009A045A">
        <w:rPr>
          <w:rFonts w:hint="eastAsia"/>
        </w:rPr>
        <w:t>Centrale</w:t>
      </w:r>
      <w:proofErr w:type="spellEnd"/>
      <w:r w:rsidR="009A045A">
        <w:rPr>
          <w:rFonts w:hint="eastAsia"/>
        </w:rPr>
        <w:t xml:space="preserve"> </w:t>
      </w:r>
      <w:proofErr w:type="spellStart"/>
      <w:r w:rsidR="009A045A">
        <w:rPr>
          <w:rFonts w:hint="eastAsia"/>
        </w:rPr>
        <w:t>Populaire</w:t>
      </w:r>
      <w:proofErr w:type="spellEnd"/>
      <w:r w:rsidR="009A045A">
        <w:rPr>
          <w:rFonts w:hint="eastAsia"/>
        </w:rPr>
        <w:t>(BCP)</w:t>
      </w:r>
      <w:r w:rsidR="009A045A">
        <w:rPr>
          <w:rFonts w:hint="eastAsia"/>
        </w:rPr>
        <w:t>のみとなっている。</w:t>
      </w:r>
    </w:p>
    <w:p w:rsidR="00D67740" w:rsidRDefault="00D67740" w:rsidP="009D7802">
      <w:pPr>
        <w:widowControl/>
        <w:jc w:val="left"/>
      </w:pPr>
    </w:p>
    <w:p w:rsidR="00D67740" w:rsidRDefault="00D67740" w:rsidP="00D67740">
      <w:pPr>
        <w:pStyle w:val="a9"/>
        <w:ind w:leftChars="0" w:left="360"/>
        <w:jc w:val="center"/>
      </w:pPr>
      <w:r>
        <w:rPr>
          <w:rFonts w:hint="eastAsia"/>
        </w:rPr>
        <w:t>図表</w:t>
      </w:r>
      <w:r>
        <w:rPr>
          <w:rFonts w:hint="eastAsia"/>
        </w:rPr>
        <w:t>9</w:t>
      </w:r>
      <w:r w:rsidR="00E6766B">
        <w:rPr>
          <w:rFonts w:hint="eastAsia"/>
        </w:rPr>
        <w:t>：モロッコの国内銀行ランキング</w:t>
      </w:r>
      <w:r w:rsidR="00E6766B">
        <w:rPr>
          <w:rFonts w:hint="eastAsia"/>
        </w:rPr>
        <w:t xml:space="preserve">(Tier 1 </w:t>
      </w:r>
      <w:r w:rsidR="00E6766B">
        <w:rPr>
          <w:rFonts w:hint="eastAsia"/>
        </w:rPr>
        <w:t>自己資本による</w:t>
      </w:r>
      <w:r w:rsidR="00E6766B">
        <w:rPr>
          <w:rFonts w:hint="eastAsia"/>
        </w:rPr>
        <w:t>)</w:t>
      </w:r>
    </w:p>
    <w:p w:rsidR="003B4937" w:rsidRDefault="00E6766B" w:rsidP="00D67740">
      <w:pPr>
        <w:pStyle w:val="a9"/>
        <w:ind w:leftChars="0" w:left="360"/>
        <w:jc w:val="center"/>
      </w:pPr>
      <w:r w:rsidRPr="00E6766B">
        <w:rPr>
          <w:noProof/>
        </w:rPr>
        <w:drawing>
          <wp:inline distT="0" distB="0" distL="0" distR="0" wp14:anchorId="55EC8ACE" wp14:editId="6E95E1A4">
            <wp:extent cx="5505448" cy="1381125"/>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4802" cy="1380963"/>
                    </a:xfrm>
                    <a:prstGeom prst="rect">
                      <a:avLst/>
                    </a:prstGeom>
                    <a:noFill/>
                    <a:ln>
                      <a:noFill/>
                    </a:ln>
                  </pic:spPr>
                </pic:pic>
              </a:graphicData>
            </a:graphic>
          </wp:inline>
        </w:drawing>
      </w:r>
    </w:p>
    <w:p w:rsidR="00E6766B" w:rsidRPr="00E6766B" w:rsidRDefault="00E6766B" w:rsidP="005E38E1">
      <w:pPr>
        <w:pStyle w:val="a9"/>
        <w:spacing w:line="240" w:lineRule="exact"/>
        <w:ind w:leftChars="0" w:left="360"/>
        <w:jc w:val="left"/>
        <w:rPr>
          <w:sz w:val="18"/>
          <w:szCs w:val="18"/>
        </w:rPr>
      </w:pPr>
      <w:r w:rsidRPr="00E6766B">
        <w:rPr>
          <w:rFonts w:hint="eastAsia"/>
          <w:sz w:val="18"/>
          <w:szCs w:val="18"/>
        </w:rPr>
        <w:t>出所</w:t>
      </w:r>
      <w:r w:rsidRPr="00E6766B">
        <w:rPr>
          <w:rFonts w:hint="eastAsia"/>
          <w:sz w:val="18"/>
          <w:szCs w:val="18"/>
        </w:rPr>
        <w:t xml:space="preserve">) The banker, various </w:t>
      </w:r>
      <w:proofErr w:type="spellStart"/>
      <w:r w:rsidRPr="00E6766B">
        <w:rPr>
          <w:rFonts w:hint="eastAsia"/>
          <w:sz w:val="18"/>
          <w:szCs w:val="18"/>
        </w:rPr>
        <w:t>isuues</w:t>
      </w:r>
      <w:proofErr w:type="spellEnd"/>
      <w:r w:rsidRPr="00E6766B">
        <w:rPr>
          <w:rFonts w:hint="eastAsia"/>
          <w:sz w:val="18"/>
          <w:szCs w:val="18"/>
        </w:rPr>
        <w:t>および各銀行の広報資料をもとに筆者作成。</w:t>
      </w:r>
    </w:p>
    <w:p w:rsidR="00E6766B" w:rsidRPr="00E6766B" w:rsidRDefault="00E6766B" w:rsidP="005E38E1">
      <w:pPr>
        <w:pStyle w:val="a9"/>
        <w:spacing w:line="240" w:lineRule="exact"/>
        <w:ind w:leftChars="0" w:left="720"/>
        <w:jc w:val="left"/>
        <w:rPr>
          <w:sz w:val="18"/>
          <w:szCs w:val="18"/>
        </w:rPr>
      </w:pPr>
      <w:r w:rsidRPr="00E6766B">
        <w:rPr>
          <w:rFonts w:hint="eastAsia"/>
          <w:sz w:val="18"/>
          <w:szCs w:val="18"/>
        </w:rPr>
        <w:t>※</w:t>
      </w:r>
      <w:r w:rsidRPr="00E6766B">
        <w:rPr>
          <w:rFonts w:hint="eastAsia"/>
          <w:sz w:val="18"/>
          <w:szCs w:val="18"/>
        </w:rPr>
        <w:t>2004</w:t>
      </w:r>
      <w:r w:rsidRPr="00E6766B">
        <w:rPr>
          <w:rFonts w:hint="eastAsia"/>
          <w:sz w:val="18"/>
          <w:szCs w:val="18"/>
        </w:rPr>
        <w:t>年に</w:t>
      </w:r>
      <w:r w:rsidRPr="00E6766B">
        <w:rPr>
          <w:rFonts w:hint="eastAsia"/>
          <w:sz w:val="18"/>
          <w:szCs w:val="18"/>
        </w:rPr>
        <w:t>BCM</w:t>
      </w:r>
      <w:r w:rsidRPr="00E6766B">
        <w:rPr>
          <w:rFonts w:hint="eastAsia"/>
          <w:sz w:val="18"/>
          <w:szCs w:val="18"/>
        </w:rPr>
        <w:t>と</w:t>
      </w:r>
      <w:proofErr w:type="spellStart"/>
      <w:r w:rsidRPr="00E6766B">
        <w:rPr>
          <w:rFonts w:hint="eastAsia"/>
          <w:sz w:val="18"/>
          <w:szCs w:val="18"/>
        </w:rPr>
        <w:t>Wafa</w:t>
      </w:r>
      <w:proofErr w:type="spellEnd"/>
      <w:r w:rsidRPr="00E6766B">
        <w:rPr>
          <w:rFonts w:hint="eastAsia"/>
          <w:sz w:val="18"/>
          <w:szCs w:val="18"/>
        </w:rPr>
        <w:t>銀行が合併し、銀行名が</w:t>
      </w:r>
      <w:proofErr w:type="spellStart"/>
      <w:r w:rsidRPr="00E6766B">
        <w:rPr>
          <w:rFonts w:hint="eastAsia"/>
          <w:sz w:val="18"/>
          <w:szCs w:val="18"/>
        </w:rPr>
        <w:t>Attijariwafa</w:t>
      </w:r>
      <w:proofErr w:type="spellEnd"/>
      <w:r w:rsidRPr="00E6766B">
        <w:rPr>
          <w:rFonts w:hint="eastAsia"/>
          <w:sz w:val="18"/>
          <w:szCs w:val="18"/>
        </w:rPr>
        <w:t>へ変更。</w:t>
      </w:r>
    </w:p>
    <w:p w:rsidR="00E6766B" w:rsidRDefault="00B231EF" w:rsidP="002C7CCC">
      <w:r>
        <w:rPr>
          <w:rFonts w:hint="eastAsia"/>
        </w:rPr>
        <w:t xml:space="preserve">　</w:t>
      </w:r>
    </w:p>
    <w:p w:rsidR="003B4937" w:rsidRDefault="00B231EF" w:rsidP="009D7802">
      <w:pPr>
        <w:ind w:firstLineChars="100" w:firstLine="210"/>
      </w:pPr>
      <w:r>
        <w:rPr>
          <w:rFonts w:hint="eastAsia"/>
        </w:rPr>
        <w:lastRenderedPageBreak/>
        <w:t>以上のように、現在、モロッコの銀行市場では、金融</w:t>
      </w:r>
      <w:r>
        <w:rPr>
          <w:rFonts w:hint="eastAsia"/>
        </w:rPr>
        <w:t>FDI</w:t>
      </w:r>
      <w:r>
        <w:rPr>
          <w:rFonts w:hint="eastAsia"/>
        </w:rPr>
        <w:t>を通じた外国銀行によるリテール業務が拡大しつつある。</w:t>
      </w:r>
      <w:r w:rsidR="00351F39">
        <w:rPr>
          <w:rFonts w:hint="eastAsia"/>
        </w:rPr>
        <w:t>とりわけ、フランス系銀行の影響力が高く、</w:t>
      </w:r>
      <w:r>
        <w:rPr>
          <w:rFonts w:hint="eastAsia"/>
        </w:rPr>
        <w:t>既存の現地商業銀行に対して、金融サービス</w:t>
      </w:r>
      <w:r w:rsidR="00D67740">
        <w:rPr>
          <w:rFonts w:hint="eastAsia"/>
        </w:rPr>
        <w:t>や価格面で競争を開始している。図表</w:t>
      </w:r>
      <w:r w:rsidR="00D67740">
        <w:rPr>
          <w:rFonts w:hint="eastAsia"/>
        </w:rPr>
        <w:t>9</w:t>
      </w:r>
      <w:r w:rsidR="00AF3876">
        <w:rPr>
          <w:rFonts w:hint="eastAsia"/>
        </w:rPr>
        <w:t>における銀行のランキングを概観してみると、</w:t>
      </w:r>
      <w:r w:rsidR="003B4937">
        <w:rPr>
          <w:rFonts w:hint="eastAsia"/>
        </w:rPr>
        <w:t>総じて</w:t>
      </w:r>
      <w:r w:rsidR="00AF3876">
        <w:rPr>
          <w:rFonts w:hint="eastAsia"/>
        </w:rPr>
        <w:t>国内銀行</w:t>
      </w:r>
      <w:r w:rsidR="00D67740">
        <w:rPr>
          <w:rFonts w:hint="eastAsia"/>
        </w:rPr>
        <w:t>は</w:t>
      </w:r>
      <w:r w:rsidR="003B4937">
        <w:rPr>
          <w:rFonts w:hint="eastAsia"/>
        </w:rPr>
        <w:t>ランキングの</w:t>
      </w:r>
      <w:r w:rsidR="00D67740">
        <w:rPr>
          <w:rFonts w:hint="eastAsia"/>
        </w:rPr>
        <w:t>トップ</w:t>
      </w:r>
      <w:r w:rsidR="00D67740">
        <w:rPr>
          <w:rFonts w:hint="eastAsia"/>
        </w:rPr>
        <w:t>3</w:t>
      </w:r>
      <w:r w:rsidR="00D67740">
        <w:rPr>
          <w:rFonts w:hint="eastAsia"/>
        </w:rPr>
        <w:t>に位置付けられ</w:t>
      </w:r>
      <w:r w:rsidR="003B4937">
        <w:rPr>
          <w:rFonts w:hint="eastAsia"/>
        </w:rPr>
        <w:t>、</w:t>
      </w:r>
      <w:r w:rsidR="00D67740">
        <w:rPr>
          <w:rFonts w:hint="eastAsia"/>
        </w:rPr>
        <w:t>外国銀行</w:t>
      </w:r>
      <w:r w:rsidR="00AF3876">
        <w:rPr>
          <w:rFonts w:hint="eastAsia"/>
        </w:rPr>
        <w:t>が</w:t>
      </w:r>
      <w:r w:rsidR="005E38E1">
        <w:rPr>
          <w:rFonts w:hint="eastAsia"/>
        </w:rPr>
        <w:t>第</w:t>
      </w:r>
      <w:r w:rsidR="005E38E1">
        <w:rPr>
          <w:rFonts w:hint="eastAsia"/>
        </w:rPr>
        <w:t>4</w:t>
      </w:r>
      <w:r w:rsidR="005E38E1">
        <w:rPr>
          <w:rFonts w:hint="eastAsia"/>
        </w:rPr>
        <w:t>位以降に</w:t>
      </w:r>
      <w:r w:rsidR="003B4937">
        <w:rPr>
          <w:rFonts w:hint="eastAsia"/>
        </w:rPr>
        <w:t>位置する</w:t>
      </w:r>
      <w:r w:rsidR="00AF3876">
        <w:rPr>
          <w:rFonts w:hint="eastAsia"/>
        </w:rPr>
        <w:t>2</w:t>
      </w:r>
      <w:r w:rsidR="003B4937">
        <w:rPr>
          <w:rFonts w:hint="eastAsia"/>
        </w:rPr>
        <w:t>層構造になっていることが観</w:t>
      </w:r>
      <w:r w:rsidR="005E38E1">
        <w:rPr>
          <w:rFonts w:hint="eastAsia"/>
        </w:rPr>
        <w:t>察できる。しかし、これまで見てきたように、こうした国内銀行に対し、</w:t>
      </w:r>
      <w:r w:rsidR="003B4937">
        <w:rPr>
          <w:rFonts w:hint="eastAsia"/>
        </w:rPr>
        <w:t>外国銀行による</w:t>
      </w:r>
      <w:r w:rsidR="00AF3876">
        <w:rPr>
          <w:rFonts w:hint="eastAsia"/>
        </w:rPr>
        <w:t>資本参加</w:t>
      </w:r>
      <w:r w:rsidR="005E38E1">
        <w:rPr>
          <w:rFonts w:hint="eastAsia"/>
        </w:rPr>
        <w:t>が行われるなど</w:t>
      </w:r>
      <w:r w:rsidR="00AF3876">
        <w:rPr>
          <w:rFonts w:hint="eastAsia"/>
        </w:rPr>
        <w:t>一定の支配が進展していることが分かる。</w:t>
      </w:r>
    </w:p>
    <w:p w:rsidR="002274A4" w:rsidRPr="005E38E1" w:rsidRDefault="002274A4" w:rsidP="002C7CCC"/>
    <w:p w:rsidR="00744566" w:rsidRDefault="00744566" w:rsidP="00744566">
      <w:pPr>
        <w:pStyle w:val="1"/>
      </w:pPr>
      <w:bookmarkStart w:id="13" w:name="_Toc302617247"/>
      <w:r>
        <w:rPr>
          <w:rFonts w:hint="eastAsia"/>
        </w:rPr>
        <w:t>結びにかえて</w:t>
      </w:r>
      <w:bookmarkEnd w:id="13"/>
    </w:p>
    <w:p w:rsidR="00473ABD" w:rsidRDefault="00692414" w:rsidP="005E38E1">
      <w:r>
        <w:rPr>
          <w:rFonts w:hint="eastAsia"/>
        </w:rPr>
        <w:t xml:space="preserve">　</w:t>
      </w:r>
      <w:r w:rsidR="005E38E1">
        <w:rPr>
          <w:rFonts w:hint="eastAsia"/>
        </w:rPr>
        <w:t>本稿では、地中海政策を起点とする一連のプロセスが、</w:t>
      </w:r>
      <w:r w:rsidR="005E38E1">
        <w:rPr>
          <w:rFonts w:hint="eastAsia"/>
        </w:rPr>
        <w:t>EU</w:t>
      </w:r>
      <w:r w:rsidR="005E38E1">
        <w:rPr>
          <w:rFonts w:hint="eastAsia"/>
        </w:rPr>
        <w:t>加盟を前提としない地中海諸国において実物面での「生産ネットワーク」形成に加えて、金融面でのいわゆる「金融</w:t>
      </w:r>
      <w:r w:rsidR="005E38E1">
        <w:rPr>
          <w:rFonts w:hint="eastAsia"/>
        </w:rPr>
        <w:t>FDI</w:t>
      </w:r>
      <w:r w:rsidR="005E38E1">
        <w:rPr>
          <w:rFonts w:hint="eastAsia"/>
        </w:rPr>
        <w:t>」を通じた「金融ネットワーク」形成が進展しつつあること</w:t>
      </w:r>
      <w:r w:rsidR="00473ABD">
        <w:rPr>
          <w:rFonts w:hint="eastAsia"/>
        </w:rPr>
        <w:t>考察した。その結果、以下の点が明らかになった。</w:t>
      </w:r>
    </w:p>
    <w:p w:rsidR="00473ABD" w:rsidRDefault="00473ABD" w:rsidP="005E38E1">
      <w:r>
        <w:rPr>
          <w:rFonts w:hint="eastAsia"/>
        </w:rPr>
        <w:t xml:space="preserve">　第</w:t>
      </w:r>
      <w:r>
        <w:rPr>
          <w:rFonts w:hint="eastAsia"/>
        </w:rPr>
        <w:t>1</w:t>
      </w:r>
      <w:r>
        <w:rPr>
          <w:rFonts w:hint="eastAsia"/>
        </w:rPr>
        <w:t>に、モロッコでは</w:t>
      </w:r>
      <w:r>
        <w:rPr>
          <w:rFonts w:hint="eastAsia"/>
        </w:rPr>
        <w:t>EU</w:t>
      </w:r>
      <w:r w:rsidR="001C7264">
        <w:rPr>
          <w:rFonts w:hint="eastAsia"/>
        </w:rPr>
        <w:t>による</w:t>
      </w:r>
      <w:r>
        <w:rPr>
          <w:rFonts w:hint="eastAsia"/>
        </w:rPr>
        <w:t>「優先的地位」付与により、同国の</w:t>
      </w:r>
      <w:r>
        <w:rPr>
          <w:rFonts w:hint="eastAsia"/>
        </w:rPr>
        <w:t>EU</w:t>
      </w:r>
      <w:r w:rsidR="008E3885">
        <w:rPr>
          <w:rFonts w:hint="eastAsia"/>
        </w:rPr>
        <w:t>アキへの接近が大きく進展している点である。</w:t>
      </w:r>
      <w:r w:rsidR="005C304A">
        <w:rPr>
          <w:rFonts w:hint="eastAsia"/>
        </w:rPr>
        <w:t>とりわけ</w:t>
      </w:r>
      <w:r>
        <w:rPr>
          <w:rFonts w:hint="eastAsia"/>
        </w:rPr>
        <w:t>、</w:t>
      </w:r>
      <w:r>
        <w:rPr>
          <w:rFonts w:hint="eastAsia"/>
        </w:rPr>
        <w:t>2006</w:t>
      </w:r>
      <w:r>
        <w:rPr>
          <w:rFonts w:hint="eastAsia"/>
        </w:rPr>
        <w:t>年および</w:t>
      </w:r>
      <w:r>
        <w:rPr>
          <w:rFonts w:hint="eastAsia"/>
        </w:rPr>
        <w:t>2008</w:t>
      </w:r>
      <w:r>
        <w:rPr>
          <w:rFonts w:hint="eastAsia"/>
        </w:rPr>
        <w:t>年に改正されたモロッコ銀行法が</w:t>
      </w:r>
      <w:r>
        <w:rPr>
          <w:rFonts w:hint="eastAsia"/>
        </w:rPr>
        <w:t>EU</w:t>
      </w:r>
      <w:r>
        <w:rPr>
          <w:rFonts w:hint="eastAsia"/>
        </w:rPr>
        <w:t>の銀行指令および預金保険指令に平仄を合わせたものになっている</w:t>
      </w:r>
      <w:r w:rsidR="000A4181">
        <w:rPr>
          <w:rFonts w:hint="eastAsia"/>
        </w:rPr>
        <w:t>ことを示唆することができた</w:t>
      </w:r>
      <w:r>
        <w:rPr>
          <w:rFonts w:hint="eastAsia"/>
        </w:rPr>
        <w:t>。</w:t>
      </w:r>
    </w:p>
    <w:p w:rsidR="00473ABD" w:rsidRDefault="00473ABD" w:rsidP="005E38E1">
      <w:r>
        <w:rPr>
          <w:rFonts w:hint="eastAsia"/>
        </w:rPr>
        <w:t xml:space="preserve">　第</w:t>
      </w:r>
      <w:r>
        <w:rPr>
          <w:rFonts w:hint="eastAsia"/>
        </w:rPr>
        <w:t>2</w:t>
      </w:r>
      <w:r>
        <w:rPr>
          <w:rFonts w:hint="eastAsia"/>
        </w:rPr>
        <w:t>に、</w:t>
      </w:r>
      <w:r w:rsidR="001C7264">
        <w:rPr>
          <w:rFonts w:hint="eastAsia"/>
        </w:rPr>
        <w:t>EU</w:t>
      </w:r>
      <w:r w:rsidR="001C7264">
        <w:rPr>
          <w:rFonts w:hint="eastAsia"/>
        </w:rPr>
        <w:t>広域経済圏の地中海エリアでの「生産ネットワーク」形成を先導するモロッコでは、</w:t>
      </w:r>
      <w:r>
        <w:rPr>
          <w:rFonts w:hint="eastAsia"/>
        </w:rPr>
        <w:t>2004</w:t>
      </w:r>
      <w:r>
        <w:rPr>
          <w:rFonts w:hint="eastAsia"/>
        </w:rPr>
        <w:t>年以降、フランス・スペインをはじめとする南欧諸国からの</w:t>
      </w:r>
      <w:r w:rsidR="001C7264">
        <w:rPr>
          <w:rFonts w:hint="eastAsia"/>
        </w:rPr>
        <w:t>金融面での</w:t>
      </w:r>
      <w:r>
        <w:rPr>
          <w:rFonts w:hint="eastAsia"/>
        </w:rPr>
        <w:t>FDI</w:t>
      </w:r>
      <w:r>
        <w:rPr>
          <w:rFonts w:hint="eastAsia"/>
        </w:rPr>
        <w:t>流入が増勢基調にある点である。</w:t>
      </w:r>
    </w:p>
    <w:p w:rsidR="00473ABD" w:rsidRDefault="00473ABD" w:rsidP="005E38E1">
      <w:r>
        <w:rPr>
          <w:rFonts w:hint="eastAsia"/>
        </w:rPr>
        <w:t xml:space="preserve">　第</w:t>
      </w:r>
      <w:r>
        <w:rPr>
          <w:rFonts w:hint="eastAsia"/>
        </w:rPr>
        <w:t>3</w:t>
      </w:r>
      <w:r>
        <w:rPr>
          <w:rFonts w:hint="eastAsia"/>
        </w:rPr>
        <w:t>に</w:t>
      </w:r>
      <w:r w:rsidR="000A4181">
        <w:rPr>
          <w:rFonts w:hint="eastAsia"/>
        </w:rPr>
        <w:t>、モロッコ銀行市場への外国銀行の参入が高まりつつある点である。国内の大手銀行に対し、外国銀行、とりわけ</w:t>
      </w:r>
      <w:r w:rsidR="000A4181">
        <w:rPr>
          <w:rFonts w:hint="eastAsia"/>
        </w:rPr>
        <w:t>EU</w:t>
      </w:r>
      <w:r w:rsidR="000A4181">
        <w:rPr>
          <w:rFonts w:hint="eastAsia"/>
        </w:rPr>
        <w:t>系の銀行が資本参加を積極的に行っていることを具体的に示すことができた。</w:t>
      </w:r>
    </w:p>
    <w:p w:rsidR="000A4181" w:rsidRPr="000A4181" w:rsidRDefault="000A4181" w:rsidP="005E38E1">
      <w:r>
        <w:rPr>
          <w:rFonts w:hint="eastAsia"/>
        </w:rPr>
        <w:t xml:space="preserve">　今後は、</w:t>
      </w:r>
      <w:r w:rsidR="006368E4">
        <w:rPr>
          <w:rFonts w:hint="eastAsia"/>
        </w:rPr>
        <w:t>EU</w:t>
      </w:r>
      <w:r w:rsidR="006368E4">
        <w:rPr>
          <w:rFonts w:hint="eastAsia"/>
        </w:rPr>
        <w:t>とモロッコ双方の</w:t>
      </w:r>
      <w:r w:rsidR="0073074C">
        <w:rPr>
          <w:rFonts w:hint="eastAsia"/>
        </w:rPr>
        <w:t>金融法制の整合性について詳細に検討する必要がある。また、金融ネットワークの形成については、</w:t>
      </w:r>
      <w:r w:rsidR="006368E4">
        <w:rPr>
          <w:rFonts w:hint="eastAsia"/>
        </w:rPr>
        <w:t>EU</w:t>
      </w:r>
      <w:r w:rsidR="006368E4">
        <w:rPr>
          <w:rFonts w:hint="eastAsia"/>
        </w:rPr>
        <w:t>とモロッコ以外のマグレブ諸国における金融</w:t>
      </w:r>
      <w:r w:rsidR="006368E4">
        <w:rPr>
          <w:rFonts w:hint="eastAsia"/>
        </w:rPr>
        <w:t>FDI</w:t>
      </w:r>
      <w:r w:rsidR="006368E4">
        <w:rPr>
          <w:rFonts w:hint="eastAsia"/>
        </w:rPr>
        <w:t>の</w:t>
      </w:r>
      <w:r w:rsidR="00F60120">
        <w:rPr>
          <w:rFonts w:hint="eastAsia"/>
        </w:rPr>
        <w:t>動向を個別に精査する必要があると考える。</w:t>
      </w:r>
    </w:p>
    <w:p w:rsidR="006F2116" w:rsidRPr="000A4181" w:rsidRDefault="006F2116">
      <w:pPr>
        <w:widowControl/>
        <w:jc w:val="left"/>
      </w:pPr>
    </w:p>
    <w:p w:rsidR="001C7264" w:rsidRDefault="001C7264">
      <w:pPr>
        <w:widowControl/>
        <w:jc w:val="left"/>
      </w:pPr>
      <w:r>
        <w:br w:type="page"/>
      </w:r>
    </w:p>
    <w:p w:rsidR="00FD21E3" w:rsidRDefault="00FD21E3" w:rsidP="00673217">
      <w:pPr>
        <w:ind w:left="1155" w:hangingChars="550" w:hanging="1155"/>
        <w:jc w:val="center"/>
      </w:pPr>
    </w:p>
    <w:p w:rsidR="002A63EA" w:rsidRDefault="00673217" w:rsidP="002A63EA">
      <w:pPr>
        <w:jc w:val="left"/>
      </w:pPr>
      <w:r>
        <w:rPr>
          <w:rFonts w:hint="eastAsia"/>
        </w:rPr>
        <w:t>参考文献</w:t>
      </w:r>
    </w:p>
    <w:p w:rsidR="00673217" w:rsidRDefault="0051117A" w:rsidP="002A63EA">
      <w:pPr>
        <w:spacing w:line="240" w:lineRule="exact"/>
        <w:ind w:left="283" w:hangingChars="135" w:hanging="283"/>
        <w:jc w:val="left"/>
      </w:pPr>
      <w:r>
        <w:rPr>
          <w:rFonts w:hint="eastAsia"/>
        </w:rPr>
        <w:t>伊鹿倉正</w:t>
      </w:r>
      <w:r w:rsidR="00673217">
        <w:rPr>
          <w:rFonts w:hint="eastAsia"/>
        </w:rPr>
        <w:t>司</w:t>
      </w:r>
      <w:r w:rsidR="00673217">
        <w:rPr>
          <w:rFonts w:hint="eastAsia"/>
        </w:rPr>
        <w:t>(2002)</w:t>
      </w:r>
      <w:r w:rsidR="00673217">
        <w:rPr>
          <w:rFonts w:hint="eastAsia"/>
        </w:rPr>
        <w:t>、「近年のラテンアメリカ銀行市場における多国籍銀行の展開－アルゼンチンの事例を中心として－」、九州大学大学院経済学会『経済論究』第</w:t>
      </w:r>
      <w:r w:rsidR="00673217">
        <w:rPr>
          <w:rFonts w:hint="eastAsia"/>
        </w:rPr>
        <w:t>114</w:t>
      </w:r>
      <w:r w:rsidR="00673217">
        <w:rPr>
          <w:rFonts w:hint="eastAsia"/>
        </w:rPr>
        <w:t>号、</w:t>
      </w:r>
      <w:r w:rsidR="00673217">
        <w:rPr>
          <w:rFonts w:hint="eastAsia"/>
        </w:rPr>
        <w:t>11</w:t>
      </w:r>
      <w:r w:rsidR="00673217">
        <w:rPr>
          <w:rFonts w:hint="eastAsia"/>
        </w:rPr>
        <w:t>月、</w:t>
      </w:r>
      <w:r w:rsidR="00673217">
        <w:rPr>
          <w:rFonts w:hint="eastAsia"/>
        </w:rPr>
        <w:t>1</w:t>
      </w:r>
      <w:r w:rsidR="00673217">
        <w:rPr>
          <w:rFonts w:hint="eastAsia"/>
        </w:rPr>
        <w:t>～</w:t>
      </w:r>
      <w:r w:rsidR="00673217">
        <w:rPr>
          <w:rFonts w:hint="eastAsia"/>
        </w:rPr>
        <w:t>23</w:t>
      </w:r>
      <w:r w:rsidR="00673217">
        <w:rPr>
          <w:rFonts w:hint="eastAsia"/>
        </w:rPr>
        <w:t>頁。</w:t>
      </w:r>
    </w:p>
    <w:p w:rsidR="00CF1C43" w:rsidRDefault="0051117A" w:rsidP="00CF1C43">
      <w:pPr>
        <w:spacing w:line="240" w:lineRule="exact"/>
        <w:ind w:left="283" w:hangingChars="135" w:hanging="283"/>
        <w:jc w:val="left"/>
      </w:pPr>
      <w:r>
        <w:rPr>
          <w:rFonts w:hint="eastAsia"/>
        </w:rPr>
        <w:t>伊鹿倉正</w:t>
      </w:r>
      <w:r w:rsidR="00673217">
        <w:rPr>
          <w:rFonts w:hint="eastAsia"/>
        </w:rPr>
        <w:t>司</w:t>
      </w:r>
      <w:r w:rsidR="00673217">
        <w:rPr>
          <w:rFonts w:hint="eastAsia"/>
        </w:rPr>
        <w:t>(2004)</w:t>
      </w:r>
      <w:r w:rsidR="00673217">
        <w:rPr>
          <w:rFonts w:hint="eastAsia"/>
        </w:rPr>
        <w:t>、「途上国金融市場における外国金融機関の役割－金融システム安定化の観点から－」、九州大学大学院経済学会『経済論究』第</w:t>
      </w:r>
      <w:r w:rsidR="00673217">
        <w:rPr>
          <w:rFonts w:hint="eastAsia"/>
        </w:rPr>
        <w:t>118</w:t>
      </w:r>
      <w:r w:rsidR="00673217">
        <w:rPr>
          <w:rFonts w:hint="eastAsia"/>
        </w:rPr>
        <w:t>号、</w:t>
      </w:r>
      <w:r w:rsidR="00673217">
        <w:rPr>
          <w:rFonts w:hint="eastAsia"/>
        </w:rPr>
        <w:t>3</w:t>
      </w:r>
      <w:r w:rsidR="00673217">
        <w:rPr>
          <w:rFonts w:hint="eastAsia"/>
        </w:rPr>
        <w:t>月、</w:t>
      </w:r>
      <w:r w:rsidR="00673217">
        <w:rPr>
          <w:rFonts w:hint="eastAsia"/>
        </w:rPr>
        <w:t>23-49</w:t>
      </w:r>
      <w:r w:rsidR="00673217">
        <w:rPr>
          <w:rFonts w:hint="eastAsia"/>
        </w:rPr>
        <w:t>頁。</w:t>
      </w:r>
    </w:p>
    <w:p w:rsidR="002555EC" w:rsidRDefault="002555EC" w:rsidP="00C00A0D">
      <w:pPr>
        <w:spacing w:line="240" w:lineRule="exact"/>
        <w:ind w:left="283" w:hangingChars="135" w:hanging="283"/>
        <w:jc w:val="left"/>
      </w:pPr>
      <w:r>
        <w:rPr>
          <w:rFonts w:hint="eastAsia"/>
        </w:rPr>
        <w:t>川本明人</w:t>
      </w:r>
      <w:r>
        <w:rPr>
          <w:rFonts w:hint="eastAsia"/>
        </w:rPr>
        <w:t>(1995)</w:t>
      </w:r>
      <w:r>
        <w:rPr>
          <w:rFonts w:hint="eastAsia"/>
        </w:rPr>
        <w:t>、『多国籍銀行論－銀行のグローバル・ネットワーク』ミネルヴァ書房。</w:t>
      </w:r>
    </w:p>
    <w:p w:rsidR="00274D2A" w:rsidRDefault="00274D2A" w:rsidP="00C00A0D">
      <w:pPr>
        <w:spacing w:line="240" w:lineRule="exact"/>
        <w:ind w:left="283" w:hangingChars="135" w:hanging="283"/>
        <w:jc w:val="left"/>
      </w:pPr>
      <w:r>
        <w:rPr>
          <w:rFonts w:hint="eastAsia"/>
        </w:rPr>
        <w:t>川本明人・小山高史</w:t>
      </w:r>
      <w:r>
        <w:rPr>
          <w:rFonts w:hint="eastAsia"/>
        </w:rPr>
        <w:t>(2006)</w:t>
      </w:r>
      <w:r>
        <w:rPr>
          <w:rFonts w:hint="eastAsia"/>
        </w:rPr>
        <w:t>、「金融業の国際的展開と金融規制」、田中素香・岩田健治編著『現代国際金融』有斐閣。</w:t>
      </w:r>
    </w:p>
    <w:p w:rsidR="00C00A0D" w:rsidRDefault="0051117A" w:rsidP="00C00A0D">
      <w:pPr>
        <w:spacing w:line="240" w:lineRule="exact"/>
        <w:ind w:left="283" w:hangingChars="135" w:hanging="283"/>
        <w:jc w:val="left"/>
      </w:pPr>
      <w:r>
        <w:rPr>
          <w:rFonts w:hint="eastAsia"/>
        </w:rPr>
        <w:t>斎藤</w:t>
      </w:r>
      <w:r>
        <w:rPr>
          <w:rFonts w:hint="eastAsia"/>
        </w:rPr>
        <w:t xml:space="preserve"> </w:t>
      </w:r>
      <w:r>
        <w:rPr>
          <w:rFonts w:hint="eastAsia"/>
        </w:rPr>
        <w:t>純</w:t>
      </w:r>
      <w:r>
        <w:rPr>
          <w:rFonts w:hint="eastAsia"/>
        </w:rPr>
        <w:t>(2008)</w:t>
      </w:r>
      <w:r>
        <w:rPr>
          <w:rFonts w:hint="eastAsia"/>
        </w:rPr>
        <w:t>、「</w:t>
      </w:r>
      <w:r>
        <w:rPr>
          <w:rFonts w:hint="eastAsia"/>
        </w:rPr>
        <w:t>MENA</w:t>
      </w:r>
      <w:r>
        <w:rPr>
          <w:rFonts w:hint="eastAsia"/>
        </w:rPr>
        <w:t>諸国の金融システム研究に関するサーベイ」『現代の中東』、第</w:t>
      </w:r>
      <w:r>
        <w:rPr>
          <w:rFonts w:hint="eastAsia"/>
        </w:rPr>
        <w:t>44</w:t>
      </w:r>
      <w:r>
        <w:rPr>
          <w:rFonts w:hint="eastAsia"/>
        </w:rPr>
        <w:t>号、</w:t>
      </w:r>
      <w:r>
        <w:rPr>
          <w:rFonts w:hint="eastAsia"/>
        </w:rPr>
        <w:t>1</w:t>
      </w:r>
      <w:r>
        <w:rPr>
          <w:rFonts w:hint="eastAsia"/>
        </w:rPr>
        <w:t>月。</w:t>
      </w:r>
    </w:p>
    <w:p w:rsidR="00CE3B72" w:rsidRDefault="00CE3B72" w:rsidP="00CE3B72">
      <w:pPr>
        <w:spacing w:line="240" w:lineRule="exact"/>
        <w:ind w:left="283" w:hangingChars="135" w:hanging="283"/>
        <w:jc w:val="left"/>
        <w:rPr>
          <w:rFonts w:ascii="Century" w:eastAsia="ＭＳ 明朝" w:hAnsi="Century" w:cs="Times New Roman"/>
        </w:rPr>
      </w:pPr>
      <w:r w:rsidRPr="00CE3B72">
        <w:rPr>
          <w:rFonts w:ascii="Century" w:eastAsia="ＭＳ 明朝" w:hAnsi="Century" w:cs="Times New Roman" w:hint="eastAsia"/>
        </w:rPr>
        <w:t>ジェトロ・ブリュッセルセンター</w:t>
      </w:r>
      <w:r w:rsidRPr="00CE3B72">
        <w:rPr>
          <w:rFonts w:ascii="Century" w:eastAsia="ＭＳ 明朝" w:hAnsi="Century" w:cs="Times New Roman" w:hint="eastAsia"/>
        </w:rPr>
        <w:t xml:space="preserve"> (</w:t>
      </w:r>
      <w:r w:rsidRPr="00CE3B72">
        <w:rPr>
          <w:rFonts w:ascii="Century" w:eastAsia="ＭＳ 明朝" w:hAnsi="Century" w:cs="Times New Roman"/>
        </w:rPr>
        <w:t>2008</w:t>
      </w:r>
      <w:r w:rsidRPr="00CE3B72">
        <w:rPr>
          <w:rFonts w:ascii="Century" w:eastAsia="ＭＳ 明朝" w:hAnsi="Century" w:cs="Times New Roman" w:hint="eastAsia"/>
        </w:rPr>
        <w:t>)</w:t>
      </w:r>
      <w:r w:rsidRPr="00CE3B72">
        <w:rPr>
          <w:rFonts w:ascii="Century" w:eastAsia="ＭＳ 明朝" w:hAnsi="Century" w:cs="Times New Roman" w:hint="eastAsia"/>
        </w:rPr>
        <w:t>、「</w:t>
      </w:r>
      <w:r w:rsidRPr="00CE3B72">
        <w:rPr>
          <w:rFonts w:ascii="Century" w:eastAsia="ＭＳ 明朝" w:hAnsi="Century" w:cs="Times New Roman"/>
        </w:rPr>
        <w:t>EU</w:t>
      </w:r>
      <w:r w:rsidRPr="00CE3B72">
        <w:rPr>
          <w:rFonts w:ascii="Century" w:eastAsia="ＭＳ 明朝" w:hAnsi="Century" w:cs="Times New Roman" w:hint="eastAsia"/>
        </w:rPr>
        <w:t>地中海諸国関係の活性化」『ユーロトレンド』、</w:t>
      </w:r>
      <w:r w:rsidRPr="00CE3B72">
        <w:rPr>
          <w:rFonts w:ascii="Century" w:eastAsia="ＭＳ 明朝" w:hAnsi="Century" w:cs="Times New Roman"/>
        </w:rPr>
        <w:t>11</w:t>
      </w:r>
      <w:r w:rsidRPr="00CE3B72">
        <w:rPr>
          <w:rFonts w:ascii="Century" w:eastAsia="ＭＳ 明朝" w:hAnsi="Century" w:cs="Times New Roman" w:hint="eastAsia"/>
        </w:rPr>
        <w:t>月。</w:t>
      </w:r>
    </w:p>
    <w:p w:rsidR="00AF6C7D" w:rsidRDefault="00AF6C7D" w:rsidP="00CE3B72">
      <w:pPr>
        <w:spacing w:line="240" w:lineRule="exact"/>
        <w:ind w:left="283" w:hangingChars="135" w:hanging="283"/>
        <w:jc w:val="left"/>
        <w:rPr>
          <w:rFonts w:ascii="Century" w:eastAsia="ＭＳ 明朝" w:hAnsi="Century" w:cs="Times New Roman"/>
        </w:rPr>
      </w:pPr>
      <w:r>
        <w:rPr>
          <w:rFonts w:ascii="Century" w:eastAsia="ＭＳ 明朝" w:hAnsi="Century" w:cs="Times New Roman" w:hint="eastAsia"/>
        </w:rPr>
        <w:t>高﨑春華</w:t>
      </w:r>
      <w:r>
        <w:rPr>
          <w:rFonts w:ascii="Century" w:eastAsia="ＭＳ 明朝" w:hAnsi="Century" w:cs="Times New Roman" w:hint="eastAsia"/>
        </w:rPr>
        <w:t>(2009)</w:t>
      </w:r>
      <w:r>
        <w:rPr>
          <w:rFonts w:ascii="Century" w:eastAsia="ＭＳ 明朝" w:hAnsi="Century" w:cs="Times New Roman" w:hint="eastAsia"/>
        </w:rPr>
        <w:t>、「</w:t>
      </w:r>
      <w:r>
        <w:rPr>
          <w:rFonts w:ascii="Century" w:eastAsia="ＭＳ 明朝" w:hAnsi="Century" w:cs="Times New Roman" w:hint="eastAsia"/>
        </w:rPr>
        <w:t>EU</w:t>
      </w:r>
      <w:r>
        <w:rPr>
          <w:rFonts w:ascii="Century" w:eastAsia="ＭＳ 明朝" w:hAnsi="Century" w:cs="Times New Roman" w:hint="eastAsia"/>
        </w:rPr>
        <w:t>の地中海政策とマグレブ諸国（上）」、九州大学大学院経済学会『経済論究』、第</w:t>
      </w:r>
      <w:r>
        <w:rPr>
          <w:rFonts w:ascii="Century" w:eastAsia="ＭＳ 明朝" w:hAnsi="Century" w:cs="Times New Roman" w:hint="eastAsia"/>
        </w:rPr>
        <w:t>135</w:t>
      </w:r>
      <w:r>
        <w:rPr>
          <w:rFonts w:ascii="Century" w:eastAsia="ＭＳ 明朝" w:hAnsi="Century" w:cs="Times New Roman" w:hint="eastAsia"/>
        </w:rPr>
        <w:t>号、</w:t>
      </w:r>
      <w:r>
        <w:rPr>
          <w:rFonts w:ascii="Century" w:eastAsia="ＭＳ 明朝" w:hAnsi="Century" w:cs="Times New Roman" w:hint="eastAsia"/>
        </w:rPr>
        <w:t>11</w:t>
      </w:r>
      <w:r>
        <w:rPr>
          <w:rFonts w:ascii="Century" w:eastAsia="ＭＳ 明朝" w:hAnsi="Century" w:cs="Times New Roman" w:hint="eastAsia"/>
        </w:rPr>
        <w:t>月、</w:t>
      </w:r>
      <w:r>
        <w:rPr>
          <w:rFonts w:ascii="Century" w:eastAsia="ＭＳ 明朝" w:hAnsi="Century" w:cs="Times New Roman" w:hint="eastAsia"/>
        </w:rPr>
        <w:t>47-67</w:t>
      </w:r>
      <w:r>
        <w:rPr>
          <w:rFonts w:ascii="Century" w:eastAsia="ＭＳ 明朝" w:hAnsi="Century" w:cs="Times New Roman" w:hint="eastAsia"/>
        </w:rPr>
        <w:t>頁。</w:t>
      </w:r>
    </w:p>
    <w:p w:rsidR="00AF6C7D" w:rsidRDefault="00AF6C7D" w:rsidP="00CE3B72">
      <w:pPr>
        <w:spacing w:line="240" w:lineRule="exact"/>
        <w:ind w:left="283" w:hangingChars="135" w:hanging="283"/>
        <w:jc w:val="left"/>
        <w:rPr>
          <w:rFonts w:ascii="Century" w:eastAsia="ＭＳ 明朝" w:hAnsi="Century" w:cs="Times New Roman"/>
        </w:rPr>
      </w:pPr>
      <w:r>
        <w:rPr>
          <w:rFonts w:ascii="Century" w:eastAsia="ＭＳ 明朝" w:hAnsi="Century" w:cs="Times New Roman" w:hint="eastAsia"/>
        </w:rPr>
        <w:t>高﨑春華</w:t>
      </w:r>
      <w:r>
        <w:rPr>
          <w:rFonts w:ascii="Century" w:eastAsia="ＭＳ 明朝" w:hAnsi="Century" w:cs="Times New Roman" w:hint="eastAsia"/>
        </w:rPr>
        <w:t>(2010)</w:t>
      </w:r>
      <w:r>
        <w:rPr>
          <w:rFonts w:ascii="Century" w:eastAsia="ＭＳ 明朝" w:hAnsi="Century" w:cs="Times New Roman" w:hint="eastAsia"/>
        </w:rPr>
        <w:t>、「</w:t>
      </w:r>
      <w:r>
        <w:rPr>
          <w:rFonts w:ascii="Century" w:eastAsia="ＭＳ 明朝" w:hAnsi="Century" w:cs="Times New Roman" w:hint="eastAsia"/>
        </w:rPr>
        <w:t>EU</w:t>
      </w:r>
      <w:r>
        <w:rPr>
          <w:rFonts w:ascii="Century" w:eastAsia="ＭＳ 明朝" w:hAnsi="Century" w:cs="Times New Roman" w:hint="eastAsia"/>
        </w:rPr>
        <w:t>の地中海政策とマグレブ諸国（下）」、九州大学大学院経済学会『経済論究』、第</w:t>
      </w:r>
      <w:r>
        <w:rPr>
          <w:rFonts w:ascii="Century" w:eastAsia="ＭＳ 明朝" w:hAnsi="Century" w:cs="Times New Roman" w:hint="eastAsia"/>
        </w:rPr>
        <w:t>136</w:t>
      </w:r>
      <w:r>
        <w:rPr>
          <w:rFonts w:ascii="Century" w:eastAsia="ＭＳ 明朝" w:hAnsi="Century" w:cs="Times New Roman" w:hint="eastAsia"/>
        </w:rPr>
        <w:t>号、</w:t>
      </w:r>
      <w:r>
        <w:rPr>
          <w:rFonts w:ascii="Century" w:eastAsia="ＭＳ 明朝" w:hAnsi="Century" w:cs="Times New Roman" w:hint="eastAsia"/>
        </w:rPr>
        <w:t>3</w:t>
      </w:r>
      <w:r>
        <w:rPr>
          <w:rFonts w:ascii="Century" w:eastAsia="ＭＳ 明朝" w:hAnsi="Century" w:cs="Times New Roman" w:hint="eastAsia"/>
        </w:rPr>
        <w:t>月、</w:t>
      </w:r>
      <w:r>
        <w:rPr>
          <w:rFonts w:ascii="Century" w:eastAsia="ＭＳ 明朝" w:hAnsi="Century" w:cs="Times New Roman" w:hint="eastAsia"/>
        </w:rPr>
        <w:t>117-133</w:t>
      </w:r>
      <w:r>
        <w:rPr>
          <w:rFonts w:ascii="Century" w:eastAsia="ＭＳ 明朝" w:hAnsi="Century" w:cs="Times New Roman" w:hint="eastAsia"/>
        </w:rPr>
        <w:t>頁。</w:t>
      </w:r>
    </w:p>
    <w:p w:rsidR="00AF6C7D" w:rsidRPr="00CE3B72" w:rsidRDefault="00AF6C7D" w:rsidP="00CE3B72">
      <w:pPr>
        <w:spacing w:line="240" w:lineRule="exact"/>
        <w:ind w:left="283" w:hangingChars="135" w:hanging="283"/>
        <w:jc w:val="left"/>
        <w:rPr>
          <w:rFonts w:ascii="Century" w:eastAsia="ＭＳ 明朝" w:hAnsi="Century" w:cs="Times New Roman"/>
        </w:rPr>
      </w:pPr>
      <w:r>
        <w:rPr>
          <w:rFonts w:ascii="Century" w:eastAsia="ＭＳ 明朝" w:hAnsi="Century" w:cs="Times New Roman" w:hint="eastAsia"/>
        </w:rPr>
        <w:t>高﨑春華</w:t>
      </w:r>
      <w:r>
        <w:rPr>
          <w:rFonts w:ascii="Century" w:eastAsia="ＭＳ 明朝" w:hAnsi="Century" w:cs="Times New Roman" w:hint="eastAsia"/>
        </w:rPr>
        <w:t>(2011)</w:t>
      </w:r>
      <w:r>
        <w:rPr>
          <w:rFonts w:ascii="Century" w:eastAsia="ＭＳ 明朝" w:hAnsi="Century" w:cs="Times New Roman" w:hint="eastAsia"/>
        </w:rPr>
        <w:t>、「</w:t>
      </w:r>
      <w:r>
        <w:rPr>
          <w:rFonts w:ascii="Century" w:eastAsia="ＭＳ 明朝" w:hAnsi="Century" w:cs="Times New Roman" w:hint="eastAsia"/>
        </w:rPr>
        <w:t>EU</w:t>
      </w:r>
      <w:r>
        <w:rPr>
          <w:rFonts w:ascii="Century" w:eastAsia="ＭＳ 明朝" w:hAnsi="Century" w:cs="Times New Roman" w:hint="eastAsia"/>
        </w:rPr>
        <w:t>地中海政策と欧州生産ネットワークの南への拡大－モロッコの事例を中心に－」、日本</w:t>
      </w:r>
      <w:r>
        <w:rPr>
          <w:rFonts w:ascii="Century" w:eastAsia="ＭＳ 明朝" w:hAnsi="Century" w:cs="Times New Roman" w:hint="eastAsia"/>
        </w:rPr>
        <w:t>EU</w:t>
      </w:r>
      <w:r>
        <w:rPr>
          <w:rFonts w:ascii="Century" w:eastAsia="ＭＳ 明朝" w:hAnsi="Century" w:cs="Times New Roman" w:hint="eastAsia"/>
        </w:rPr>
        <w:t>学会『日本</w:t>
      </w:r>
      <w:r>
        <w:rPr>
          <w:rFonts w:ascii="Century" w:eastAsia="ＭＳ 明朝" w:hAnsi="Century" w:cs="Times New Roman" w:hint="eastAsia"/>
        </w:rPr>
        <w:t>EU</w:t>
      </w:r>
      <w:r>
        <w:rPr>
          <w:rFonts w:ascii="Century" w:eastAsia="ＭＳ 明朝" w:hAnsi="Century" w:cs="Times New Roman" w:hint="eastAsia"/>
        </w:rPr>
        <w:t>学会年報』、第</w:t>
      </w:r>
      <w:r>
        <w:rPr>
          <w:rFonts w:ascii="Century" w:eastAsia="ＭＳ 明朝" w:hAnsi="Century" w:cs="Times New Roman" w:hint="eastAsia"/>
        </w:rPr>
        <w:t>31</w:t>
      </w:r>
      <w:r>
        <w:rPr>
          <w:rFonts w:ascii="Century" w:eastAsia="ＭＳ 明朝" w:hAnsi="Century" w:cs="Times New Roman" w:hint="eastAsia"/>
        </w:rPr>
        <w:t>号</w:t>
      </w:r>
      <w:r>
        <w:rPr>
          <w:rFonts w:ascii="Century" w:eastAsia="ＭＳ 明朝" w:hAnsi="Century" w:cs="Times New Roman" w:hint="eastAsia"/>
        </w:rPr>
        <w:t>(2011</w:t>
      </w:r>
      <w:r>
        <w:rPr>
          <w:rFonts w:ascii="Century" w:eastAsia="ＭＳ 明朝" w:hAnsi="Century" w:cs="Times New Roman" w:hint="eastAsia"/>
        </w:rPr>
        <w:t>年</w:t>
      </w:r>
      <w:r>
        <w:rPr>
          <w:rFonts w:ascii="Century" w:eastAsia="ＭＳ 明朝" w:hAnsi="Century" w:cs="Times New Roman" w:hint="eastAsia"/>
        </w:rPr>
        <w:t>)</w:t>
      </w:r>
      <w:r>
        <w:rPr>
          <w:rFonts w:ascii="Century" w:eastAsia="ＭＳ 明朝" w:hAnsi="Century" w:cs="Times New Roman" w:hint="eastAsia"/>
        </w:rPr>
        <w:t>、</w:t>
      </w:r>
      <w:r>
        <w:rPr>
          <w:rFonts w:ascii="Century" w:eastAsia="ＭＳ 明朝" w:hAnsi="Century" w:cs="Times New Roman" w:hint="eastAsia"/>
        </w:rPr>
        <w:t>4</w:t>
      </w:r>
      <w:r>
        <w:rPr>
          <w:rFonts w:ascii="Century" w:eastAsia="ＭＳ 明朝" w:hAnsi="Century" w:cs="Times New Roman" w:hint="eastAsia"/>
        </w:rPr>
        <w:t>月、</w:t>
      </w:r>
      <w:r>
        <w:rPr>
          <w:rFonts w:ascii="Century" w:eastAsia="ＭＳ 明朝" w:hAnsi="Century" w:cs="Times New Roman" w:hint="eastAsia"/>
        </w:rPr>
        <w:t>241-264</w:t>
      </w:r>
      <w:r>
        <w:rPr>
          <w:rFonts w:ascii="Century" w:eastAsia="ＭＳ 明朝" w:hAnsi="Century" w:cs="Times New Roman" w:hint="eastAsia"/>
        </w:rPr>
        <w:t>頁。</w:t>
      </w:r>
    </w:p>
    <w:p w:rsidR="00320076" w:rsidRDefault="00673217" w:rsidP="00764ECC">
      <w:pPr>
        <w:spacing w:line="240" w:lineRule="exact"/>
        <w:ind w:left="283" w:hangingChars="135" w:hanging="283"/>
        <w:jc w:val="left"/>
      </w:pPr>
      <w:r>
        <w:rPr>
          <w:rFonts w:hint="eastAsia"/>
        </w:rPr>
        <w:t>田中素香</w:t>
      </w:r>
      <w:r>
        <w:rPr>
          <w:rFonts w:hint="eastAsia"/>
        </w:rPr>
        <w:t>(2007)</w:t>
      </w:r>
      <w:r>
        <w:rPr>
          <w:rFonts w:hint="eastAsia"/>
        </w:rPr>
        <w:t>、『拡大するユーロ経済圏－その強さとひずみを検証する－』日本経済新聞社出版。</w:t>
      </w:r>
    </w:p>
    <w:p w:rsidR="00320076" w:rsidRDefault="00320076" w:rsidP="00764ECC">
      <w:pPr>
        <w:spacing w:line="240" w:lineRule="exact"/>
        <w:ind w:left="424" w:hangingChars="202" w:hanging="424"/>
        <w:jc w:val="left"/>
      </w:pPr>
      <w:r>
        <w:rPr>
          <w:rFonts w:hint="eastAsia"/>
        </w:rPr>
        <w:t>田中素香・岩田健治編</w:t>
      </w:r>
      <w:r>
        <w:rPr>
          <w:rFonts w:hint="eastAsia"/>
        </w:rPr>
        <w:t>(2008)</w:t>
      </w:r>
      <w:r>
        <w:rPr>
          <w:rFonts w:hint="eastAsia"/>
        </w:rPr>
        <w:t>、『現代国際金融』有斐閣。</w:t>
      </w:r>
    </w:p>
    <w:p w:rsidR="00D04037" w:rsidRDefault="00D04037" w:rsidP="00D67740">
      <w:pPr>
        <w:spacing w:line="240" w:lineRule="exact"/>
        <w:ind w:left="283" w:hangingChars="135" w:hanging="283"/>
        <w:jc w:val="left"/>
      </w:pPr>
      <w:r w:rsidRPr="004C68E7">
        <w:rPr>
          <w:rFonts w:hint="eastAsia"/>
        </w:rPr>
        <w:t>田中素香・長部重康・久保広正・岩田健治</w:t>
      </w:r>
      <w:r w:rsidRPr="004C68E7">
        <w:rPr>
          <w:rFonts w:hint="eastAsia"/>
        </w:rPr>
        <w:t xml:space="preserve"> (2006)</w:t>
      </w:r>
      <w:r>
        <w:rPr>
          <w:rFonts w:hint="eastAsia"/>
        </w:rPr>
        <w:t>、『新版　現代ヨーロッパ経済』</w:t>
      </w:r>
      <w:r w:rsidRPr="004C68E7">
        <w:rPr>
          <w:rFonts w:hint="eastAsia"/>
        </w:rPr>
        <w:t>、有斐閣アルマ。</w:t>
      </w:r>
    </w:p>
    <w:p w:rsidR="00CF1C43" w:rsidRDefault="00CF1C43" w:rsidP="00D67740">
      <w:pPr>
        <w:spacing w:line="240" w:lineRule="exact"/>
        <w:ind w:left="283" w:hangingChars="135" w:hanging="283"/>
        <w:jc w:val="left"/>
      </w:pPr>
      <w:r>
        <w:rPr>
          <w:rFonts w:hint="eastAsia"/>
        </w:rPr>
        <w:t>バニンコバ・エバ</w:t>
      </w:r>
      <w:r>
        <w:rPr>
          <w:rFonts w:hint="eastAsia"/>
        </w:rPr>
        <w:t>(2009)</w:t>
      </w:r>
      <w:r>
        <w:rPr>
          <w:rFonts w:hint="eastAsia"/>
        </w:rPr>
        <w:t>、「世界経済危機に至るバルト</w:t>
      </w:r>
      <w:r>
        <w:rPr>
          <w:rFonts w:hint="eastAsia"/>
        </w:rPr>
        <w:t>3</w:t>
      </w:r>
      <w:r>
        <w:rPr>
          <w:rFonts w:hint="eastAsia"/>
        </w:rPr>
        <w:t>国の信用拡大」、九州大学大学院経済学会『経済論究』第</w:t>
      </w:r>
      <w:r>
        <w:rPr>
          <w:rFonts w:hint="eastAsia"/>
        </w:rPr>
        <w:t>134</w:t>
      </w:r>
      <w:r>
        <w:rPr>
          <w:rFonts w:hint="eastAsia"/>
        </w:rPr>
        <w:t>号、</w:t>
      </w:r>
      <w:r>
        <w:rPr>
          <w:rFonts w:hint="eastAsia"/>
        </w:rPr>
        <w:t>97-112</w:t>
      </w:r>
      <w:r>
        <w:rPr>
          <w:rFonts w:hint="eastAsia"/>
        </w:rPr>
        <w:t>頁。</w:t>
      </w:r>
    </w:p>
    <w:p w:rsidR="005B1CC0" w:rsidRDefault="005B1CC0" w:rsidP="00D67740">
      <w:pPr>
        <w:spacing w:line="240" w:lineRule="exact"/>
        <w:ind w:left="283" w:hangingChars="135" w:hanging="283"/>
        <w:jc w:val="left"/>
      </w:pPr>
      <w:r>
        <w:rPr>
          <w:rFonts w:hint="eastAsia"/>
        </w:rPr>
        <w:t>ワッタナワリン・スカンヤ</w:t>
      </w:r>
      <w:r>
        <w:rPr>
          <w:rFonts w:hint="eastAsia"/>
        </w:rPr>
        <w:t>(2010)</w:t>
      </w:r>
      <w:r>
        <w:rPr>
          <w:rFonts w:hint="eastAsia"/>
        </w:rPr>
        <w:t>、「アジア通貨危機後のタイ銀行セクターの新展開」、九州大学経済学会『経済学研究』第</w:t>
      </w:r>
      <w:r>
        <w:rPr>
          <w:rFonts w:hint="eastAsia"/>
        </w:rPr>
        <w:t>77</w:t>
      </w:r>
      <w:r>
        <w:rPr>
          <w:rFonts w:hint="eastAsia"/>
        </w:rPr>
        <w:t>巻、第</w:t>
      </w:r>
      <w:r>
        <w:rPr>
          <w:rFonts w:hint="eastAsia"/>
        </w:rPr>
        <w:t>4</w:t>
      </w:r>
      <w:r>
        <w:rPr>
          <w:rFonts w:hint="eastAsia"/>
        </w:rPr>
        <w:t>号、</w:t>
      </w:r>
      <w:r>
        <w:rPr>
          <w:rFonts w:hint="eastAsia"/>
        </w:rPr>
        <w:t>12</w:t>
      </w:r>
      <w:r>
        <w:rPr>
          <w:rFonts w:hint="eastAsia"/>
        </w:rPr>
        <w:t>月、</w:t>
      </w:r>
      <w:r>
        <w:rPr>
          <w:rFonts w:hint="eastAsia"/>
        </w:rPr>
        <w:t>79</w:t>
      </w:r>
      <w:r>
        <w:rPr>
          <w:rFonts w:hint="eastAsia"/>
        </w:rPr>
        <w:t>～</w:t>
      </w:r>
      <w:r>
        <w:rPr>
          <w:rFonts w:hint="eastAsia"/>
        </w:rPr>
        <w:t>108</w:t>
      </w:r>
      <w:r>
        <w:rPr>
          <w:rFonts w:hint="eastAsia"/>
        </w:rPr>
        <w:t>頁。</w:t>
      </w:r>
    </w:p>
    <w:p w:rsidR="00320076" w:rsidRDefault="00320076" w:rsidP="00764ECC">
      <w:pPr>
        <w:spacing w:line="240" w:lineRule="exact"/>
        <w:ind w:left="283" w:hangingChars="135" w:hanging="283"/>
        <w:jc w:val="left"/>
      </w:pPr>
      <w:r>
        <w:rPr>
          <w:rFonts w:hint="eastAsia"/>
        </w:rPr>
        <w:t>Bank Al-</w:t>
      </w:r>
      <w:proofErr w:type="spellStart"/>
      <w:r>
        <w:rPr>
          <w:rFonts w:hint="eastAsia"/>
        </w:rPr>
        <w:t>Magrib</w:t>
      </w:r>
      <w:proofErr w:type="spellEnd"/>
      <w:r>
        <w:rPr>
          <w:rFonts w:hint="eastAsia"/>
        </w:rPr>
        <w:t xml:space="preserve"> (2008), </w:t>
      </w:r>
      <w:r w:rsidRPr="00320076">
        <w:rPr>
          <w:rFonts w:hint="eastAsia"/>
          <w:i/>
        </w:rPr>
        <w:t>On the control, activity and results of credit institutions</w:t>
      </w:r>
      <w:r>
        <w:rPr>
          <w:rFonts w:hint="eastAsia"/>
        </w:rPr>
        <w:t>, Banking Supervision Annual Report.</w:t>
      </w:r>
    </w:p>
    <w:p w:rsidR="00673217" w:rsidRDefault="00320076" w:rsidP="00764ECC">
      <w:pPr>
        <w:spacing w:line="240" w:lineRule="exact"/>
        <w:ind w:left="283" w:hangingChars="135" w:hanging="283"/>
        <w:jc w:val="left"/>
      </w:pPr>
      <w:proofErr w:type="spellStart"/>
      <w:r w:rsidRPr="00FE6F2B">
        <w:t>Bicchi</w:t>
      </w:r>
      <w:proofErr w:type="spellEnd"/>
      <w:r w:rsidRPr="00FE6F2B">
        <w:t xml:space="preserve">, F. (2007), </w:t>
      </w:r>
      <w:r w:rsidRPr="00FE6F2B">
        <w:rPr>
          <w:i/>
          <w:iCs/>
        </w:rPr>
        <w:t xml:space="preserve">European Foreign Policy Making Toward The </w:t>
      </w:r>
      <w:proofErr w:type="spellStart"/>
      <w:r w:rsidRPr="00FE6F2B">
        <w:rPr>
          <w:i/>
          <w:iCs/>
        </w:rPr>
        <w:t>Mediterranean</w:t>
      </w:r>
      <w:r>
        <w:t>,</w:t>
      </w:r>
      <w:r w:rsidRPr="00FE6F2B">
        <w:t>Palgrave</w:t>
      </w:r>
      <w:proofErr w:type="spellEnd"/>
      <w:r w:rsidRPr="00FE6F2B">
        <w:t xml:space="preserve"> Macmillan.</w:t>
      </w:r>
    </w:p>
    <w:p w:rsidR="00320076" w:rsidRDefault="00320076" w:rsidP="00764ECC">
      <w:pPr>
        <w:spacing w:line="240" w:lineRule="exact"/>
        <w:ind w:left="283" w:hangingChars="135" w:hanging="283"/>
        <w:jc w:val="left"/>
      </w:pPr>
      <w:r w:rsidRPr="004C68E7">
        <w:rPr>
          <w:rFonts w:hint="eastAsia"/>
        </w:rPr>
        <w:t xml:space="preserve">Dawson, C. (2009), </w:t>
      </w:r>
      <w:r w:rsidRPr="004C68E7">
        <w:rPr>
          <w:rFonts w:hint="eastAsia"/>
          <w:i/>
        </w:rPr>
        <w:t>EU Integra</w:t>
      </w:r>
      <w:r>
        <w:rPr>
          <w:rFonts w:hint="eastAsia"/>
          <w:i/>
        </w:rPr>
        <w:t>t</w:t>
      </w:r>
      <w:r w:rsidRPr="004C68E7">
        <w:rPr>
          <w:rFonts w:hint="eastAsia"/>
          <w:i/>
        </w:rPr>
        <w:t>io</w:t>
      </w:r>
      <w:r>
        <w:rPr>
          <w:rFonts w:hint="eastAsia"/>
          <w:i/>
        </w:rPr>
        <w:t>n with North Africa Trade -Negotiations and</w:t>
      </w:r>
      <w:r>
        <w:rPr>
          <w:rFonts w:hint="eastAsia"/>
          <w:i/>
        </w:rPr>
        <w:t xml:space="preserve">　</w:t>
      </w:r>
      <w:r w:rsidRPr="004C68E7">
        <w:rPr>
          <w:rFonts w:hint="eastAsia"/>
          <w:i/>
        </w:rPr>
        <w:t>Democracy deficits in Morocco-</w:t>
      </w:r>
      <w:r w:rsidRPr="004C68E7">
        <w:rPr>
          <w:rFonts w:hint="eastAsia"/>
        </w:rPr>
        <w:t xml:space="preserve">, </w:t>
      </w:r>
      <w:proofErr w:type="spellStart"/>
      <w:r w:rsidRPr="004C68E7">
        <w:rPr>
          <w:rFonts w:hint="eastAsia"/>
        </w:rPr>
        <w:t>Tauris</w:t>
      </w:r>
      <w:proofErr w:type="spellEnd"/>
      <w:r w:rsidRPr="004C68E7">
        <w:rPr>
          <w:rFonts w:hint="eastAsia"/>
        </w:rPr>
        <w:t xml:space="preserve"> Academic Studies.</w:t>
      </w:r>
    </w:p>
    <w:p w:rsidR="00320076" w:rsidRDefault="00320076" w:rsidP="00764ECC">
      <w:pPr>
        <w:spacing w:line="240" w:lineRule="exact"/>
        <w:ind w:left="178" w:hangingChars="85" w:hanging="178"/>
        <w:jc w:val="left"/>
      </w:pPr>
      <w:r w:rsidRPr="004C68E7">
        <w:rPr>
          <w:rFonts w:hint="eastAsia"/>
        </w:rPr>
        <w:t xml:space="preserve">Dean, L. eds. (2008), </w:t>
      </w:r>
      <w:r w:rsidRPr="004C68E7">
        <w:rPr>
          <w:rFonts w:hint="eastAsia"/>
          <w:i/>
        </w:rPr>
        <w:t>The Middle East and North Africa 2009 55</w:t>
      </w:r>
      <w:r w:rsidRPr="004C68E7">
        <w:rPr>
          <w:rFonts w:hint="eastAsia"/>
          <w:i/>
          <w:vertAlign w:val="superscript"/>
        </w:rPr>
        <w:t>th</w:t>
      </w:r>
      <w:r w:rsidRPr="004C68E7">
        <w:rPr>
          <w:rFonts w:hint="eastAsia"/>
          <w:i/>
        </w:rPr>
        <w:t xml:space="preserve"> edition</w:t>
      </w:r>
      <w:r w:rsidRPr="004C68E7">
        <w:rPr>
          <w:rFonts w:hint="eastAsia"/>
        </w:rPr>
        <w:t xml:space="preserve">, </w:t>
      </w:r>
      <w:proofErr w:type="spellStart"/>
      <w:r w:rsidRPr="004C68E7">
        <w:rPr>
          <w:rFonts w:hint="eastAsia"/>
        </w:rPr>
        <w:t>Routledge</w:t>
      </w:r>
      <w:proofErr w:type="spellEnd"/>
      <w:r w:rsidRPr="004C68E7">
        <w:rPr>
          <w:rFonts w:hint="eastAsia"/>
        </w:rPr>
        <w:t>.</w:t>
      </w:r>
    </w:p>
    <w:p w:rsidR="005559E5" w:rsidRDefault="005559E5" w:rsidP="00D67740">
      <w:pPr>
        <w:spacing w:line="240" w:lineRule="exact"/>
        <w:ind w:left="283" w:hangingChars="135" w:hanging="283"/>
        <w:jc w:val="left"/>
      </w:pPr>
      <w:r w:rsidRPr="004C68E7">
        <w:t>European Commission</w:t>
      </w:r>
      <w:r w:rsidRPr="004C68E7">
        <w:rPr>
          <w:rFonts w:hint="eastAsia"/>
        </w:rPr>
        <w:t xml:space="preserve"> (</w:t>
      </w:r>
      <w:r w:rsidRPr="004C68E7">
        <w:t>1992</w:t>
      </w:r>
      <w:r w:rsidRPr="004C68E7">
        <w:rPr>
          <w:rFonts w:hint="eastAsia"/>
        </w:rPr>
        <w:t xml:space="preserve">), </w:t>
      </w:r>
      <w:r w:rsidRPr="005559E5">
        <w:rPr>
          <w:i/>
        </w:rPr>
        <w:t xml:space="preserve">The Future of Relations between the </w:t>
      </w:r>
      <w:r w:rsidRPr="005559E5">
        <w:rPr>
          <w:rFonts w:hint="eastAsia"/>
          <w:i/>
        </w:rPr>
        <w:t>C</w:t>
      </w:r>
      <w:r w:rsidRPr="005559E5">
        <w:rPr>
          <w:i/>
        </w:rPr>
        <w:t>ommunity and the Maghreb</w:t>
      </w:r>
      <w:r w:rsidRPr="004C68E7">
        <w:t>,</w:t>
      </w:r>
      <w:r w:rsidRPr="005559E5">
        <w:t xml:space="preserve"> </w:t>
      </w:r>
      <w:r w:rsidRPr="005559E5">
        <w:rPr>
          <w:iCs/>
        </w:rPr>
        <w:t>SEC</w:t>
      </w:r>
      <w:r w:rsidRPr="005559E5">
        <w:rPr>
          <w:rFonts w:hint="eastAsia"/>
          <w:iCs/>
        </w:rPr>
        <w:t xml:space="preserve"> (</w:t>
      </w:r>
      <w:r w:rsidRPr="005559E5">
        <w:rPr>
          <w:iCs/>
        </w:rPr>
        <w:t>92</w:t>
      </w:r>
      <w:r w:rsidRPr="005559E5">
        <w:rPr>
          <w:rFonts w:hint="eastAsia"/>
          <w:iCs/>
        </w:rPr>
        <w:t>)</w:t>
      </w:r>
      <w:r w:rsidRPr="005559E5">
        <w:rPr>
          <w:iCs/>
        </w:rPr>
        <w:t>401 final.</w:t>
      </w:r>
    </w:p>
    <w:p w:rsidR="00275972" w:rsidRDefault="00275972" w:rsidP="00764ECC">
      <w:pPr>
        <w:spacing w:line="240" w:lineRule="exact"/>
        <w:ind w:left="283" w:hangingChars="135" w:hanging="283"/>
        <w:jc w:val="left"/>
        <w:rPr>
          <w:szCs w:val="21"/>
        </w:rPr>
      </w:pPr>
      <w:r w:rsidRPr="00764ECC">
        <w:rPr>
          <w:szCs w:val="21"/>
        </w:rPr>
        <w:t>European Commission</w:t>
      </w:r>
      <w:r w:rsidRPr="00764ECC">
        <w:rPr>
          <w:rFonts w:hint="eastAsia"/>
          <w:szCs w:val="21"/>
        </w:rPr>
        <w:t xml:space="preserve"> (</w:t>
      </w:r>
      <w:r w:rsidRPr="00764ECC">
        <w:rPr>
          <w:szCs w:val="21"/>
        </w:rPr>
        <w:t>2008</w:t>
      </w:r>
      <w:r w:rsidRPr="00764ECC">
        <w:rPr>
          <w:rFonts w:hint="eastAsia"/>
          <w:szCs w:val="21"/>
        </w:rPr>
        <w:t>),</w:t>
      </w:r>
      <w:r w:rsidRPr="00764ECC">
        <w:rPr>
          <w:rFonts w:hint="eastAsia"/>
          <w:i/>
          <w:szCs w:val="21"/>
        </w:rPr>
        <w:t xml:space="preserve"> </w:t>
      </w:r>
      <w:r w:rsidRPr="00764ECC">
        <w:rPr>
          <w:i/>
          <w:szCs w:val="21"/>
        </w:rPr>
        <w:t xml:space="preserve">Barcelona Process: Union for the </w:t>
      </w:r>
      <w:proofErr w:type="spellStart"/>
      <w:r w:rsidRPr="00764ECC">
        <w:rPr>
          <w:i/>
          <w:szCs w:val="21"/>
        </w:rPr>
        <w:t>Meidterranean</w:t>
      </w:r>
      <w:proofErr w:type="spellEnd"/>
      <w:r w:rsidRPr="00764ECC">
        <w:rPr>
          <w:szCs w:val="21"/>
        </w:rPr>
        <w:t xml:space="preserve">, </w:t>
      </w:r>
      <w:r w:rsidRPr="00764ECC">
        <w:rPr>
          <w:iCs/>
          <w:szCs w:val="21"/>
        </w:rPr>
        <w:t>COM</w:t>
      </w:r>
      <w:r w:rsidR="005559E5">
        <w:rPr>
          <w:rFonts w:hint="eastAsia"/>
          <w:iCs/>
          <w:szCs w:val="21"/>
        </w:rPr>
        <w:t>(2008)</w:t>
      </w:r>
      <w:r w:rsidRPr="00764ECC">
        <w:rPr>
          <w:iCs/>
          <w:szCs w:val="21"/>
        </w:rPr>
        <w:t>319 final</w:t>
      </w:r>
      <w:r w:rsidRPr="00764ECC">
        <w:rPr>
          <w:szCs w:val="21"/>
        </w:rPr>
        <w:t>.</w:t>
      </w:r>
    </w:p>
    <w:p w:rsidR="00275972" w:rsidRDefault="00275972" w:rsidP="00764ECC">
      <w:pPr>
        <w:spacing w:line="240" w:lineRule="exact"/>
        <w:ind w:left="283" w:hangingChars="135" w:hanging="283"/>
        <w:jc w:val="left"/>
        <w:rPr>
          <w:bCs/>
          <w:szCs w:val="21"/>
        </w:rPr>
      </w:pPr>
      <w:r>
        <w:rPr>
          <w:rFonts w:hint="eastAsia"/>
          <w:szCs w:val="21"/>
        </w:rPr>
        <w:t>European Commission (2011</w:t>
      </w:r>
      <w:r w:rsidR="00BC3E60">
        <w:rPr>
          <w:rFonts w:hint="eastAsia"/>
          <w:szCs w:val="21"/>
        </w:rPr>
        <w:t>a</w:t>
      </w:r>
      <w:r>
        <w:rPr>
          <w:rFonts w:hint="eastAsia"/>
          <w:szCs w:val="21"/>
        </w:rPr>
        <w:t xml:space="preserve">), </w:t>
      </w:r>
      <w:r w:rsidRPr="00275972">
        <w:rPr>
          <w:bCs/>
          <w:i/>
          <w:szCs w:val="21"/>
        </w:rPr>
        <w:t xml:space="preserve">A new response to a changing </w:t>
      </w:r>
      <w:proofErr w:type="spellStart"/>
      <w:r w:rsidRPr="00275972">
        <w:rPr>
          <w:bCs/>
          <w:i/>
          <w:szCs w:val="21"/>
        </w:rPr>
        <w:t>Neighbourhood</w:t>
      </w:r>
      <w:proofErr w:type="spellEnd"/>
      <w:r>
        <w:rPr>
          <w:rFonts w:hint="eastAsia"/>
          <w:bCs/>
          <w:szCs w:val="21"/>
        </w:rPr>
        <w:t>, COM</w:t>
      </w:r>
      <w:r w:rsidR="005559E5">
        <w:rPr>
          <w:rFonts w:hint="eastAsia"/>
          <w:bCs/>
          <w:szCs w:val="21"/>
        </w:rPr>
        <w:t>(2011)</w:t>
      </w:r>
      <w:r>
        <w:rPr>
          <w:rFonts w:hint="eastAsia"/>
          <w:bCs/>
          <w:szCs w:val="21"/>
        </w:rPr>
        <w:t>303</w:t>
      </w:r>
      <w:r w:rsidR="001E6D01">
        <w:rPr>
          <w:rFonts w:hint="eastAsia"/>
          <w:bCs/>
          <w:szCs w:val="21"/>
        </w:rPr>
        <w:t xml:space="preserve"> final</w:t>
      </w:r>
      <w:r>
        <w:rPr>
          <w:rFonts w:hint="eastAsia"/>
          <w:bCs/>
          <w:szCs w:val="21"/>
        </w:rPr>
        <w:t>.</w:t>
      </w:r>
    </w:p>
    <w:p w:rsidR="00275972" w:rsidRPr="00275972" w:rsidRDefault="00275972" w:rsidP="00764ECC">
      <w:pPr>
        <w:spacing w:line="240" w:lineRule="exact"/>
        <w:ind w:left="283" w:hangingChars="135" w:hanging="283"/>
        <w:jc w:val="left"/>
        <w:rPr>
          <w:szCs w:val="21"/>
        </w:rPr>
      </w:pPr>
      <w:r>
        <w:rPr>
          <w:rFonts w:hint="eastAsia"/>
          <w:bCs/>
          <w:szCs w:val="21"/>
        </w:rPr>
        <w:t>European Commission (2011</w:t>
      </w:r>
      <w:r w:rsidR="00BC3E60">
        <w:rPr>
          <w:rFonts w:hint="eastAsia"/>
          <w:bCs/>
          <w:szCs w:val="21"/>
        </w:rPr>
        <w:t>b</w:t>
      </w:r>
      <w:r>
        <w:rPr>
          <w:rFonts w:hint="eastAsia"/>
          <w:bCs/>
          <w:szCs w:val="21"/>
        </w:rPr>
        <w:t xml:space="preserve">), </w:t>
      </w:r>
      <w:r w:rsidR="0098403D" w:rsidRPr="0098403D">
        <w:rPr>
          <w:rFonts w:hint="eastAsia"/>
          <w:bCs/>
          <w:i/>
          <w:szCs w:val="21"/>
        </w:rPr>
        <w:t xml:space="preserve">A Partnership for Democracy and </w:t>
      </w:r>
      <w:proofErr w:type="spellStart"/>
      <w:r w:rsidR="0098403D" w:rsidRPr="0098403D">
        <w:rPr>
          <w:rFonts w:hint="eastAsia"/>
          <w:bCs/>
          <w:i/>
          <w:szCs w:val="21"/>
        </w:rPr>
        <w:t>Shered</w:t>
      </w:r>
      <w:proofErr w:type="spellEnd"/>
      <w:r w:rsidR="0098403D" w:rsidRPr="0098403D">
        <w:rPr>
          <w:rFonts w:hint="eastAsia"/>
          <w:bCs/>
          <w:i/>
          <w:szCs w:val="21"/>
        </w:rPr>
        <w:t xml:space="preserve"> Prosperity </w:t>
      </w:r>
      <w:r w:rsidR="0098403D" w:rsidRPr="0098403D">
        <w:rPr>
          <w:bCs/>
          <w:i/>
          <w:szCs w:val="21"/>
        </w:rPr>
        <w:t>with</w:t>
      </w:r>
      <w:r w:rsidR="0098403D" w:rsidRPr="0098403D">
        <w:rPr>
          <w:rFonts w:hint="eastAsia"/>
          <w:bCs/>
          <w:i/>
          <w:szCs w:val="21"/>
        </w:rPr>
        <w:t xml:space="preserve"> the Southern Mediterranean</w:t>
      </w:r>
      <w:r w:rsidR="0098403D">
        <w:rPr>
          <w:rFonts w:hint="eastAsia"/>
          <w:bCs/>
          <w:szCs w:val="21"/>
        </w:rPr>
        <w:t>, COM</w:t>
      </w:r>
      <w:r w:rsidR="005559E5">
        <w:rPr>
          <w:rFonts w:hint="eastAsia"/>
          <w:bCs/>
          <w:szCs w:val="21"/>
        </w:rPr>
        <w:t>(2011)</w:t>
      </w:r>
      <w:r w:rsidR="0098403D">
        <w:rPr>
          <w:rFonts w:hint="eastAsia"/>
          <w:bCs/>
          <w:szCs w:val="21"/>
        </w:rPr>
        <w:t>200</w:t>
      </w:r>
      <w:r w:rsidR="001E6D01">
        <w:rPr>
          <w:rFonts w:hint="eastAsia"/>
          <w:bCs/>
          <w:szCs w:val="21"/>
        </w:rPr>
        <w:t xml:space="preserve"> final</w:t>
      </w:r>
      <w:r w:rsidR="0098403D">
        <w:rPr>
          <w:rFonts w:hint="eastAsia"/>
          <w:bCs/>
          <w:szCs w:val="21"/>
        </w:rPr>
        <w:t>.</w:t>
      </w:r>
    </w:p>
    <w:p w:rsidR="00320076" w:rsidRPr="0098403D" w:rsidRDefault="00320076" w:rsidP="00764ECC">
      <w:pPr>
        <w:spacing w:line="240" w:lineRule="exact"/>
        <w:ind w:left="283" w:hangingChars="135" w:hanging="283"/>
        <w:jc w:val="left"/>
      </w:pPr>
      <w:r>
        <w:rPr>
          <w:rFonts w:hint="eastAsia"/>
        </w:rPr>
        <w:t xml:space="preserve">European Commission Directorate-General for Economic and Financial Affairs (2009), </w:t>
      </w:r>
      <w:r w:rsidRPr="0098403D">
        <w:rPr>
          <w:rFonts w:hint="eastAsia"/>
          <w:i/>
        </w:rPr>
        <w:t xml:space="preserve">The Impact of the Global Crisis on </w:t>
      </w:r>
      <w:proofErr w:type="spellStart"/>
      <w:r w:rsidRPr="0098403D">
        <w:rPr>
          <w:rFonts w:hint="eastAsia"/>
          <w:i/>
        </w:rPr>
        <w:t>Neighbouring</w:t>
      </w:r>
      <w:proofErr w:type="spellEnd"/>
      <w:r w:rsidRPr="0098403D">
        <w:rPr>
          <w:rFonts w:hint="eastAsia"/>
          <w:i/>
        </w:rPr>
        <w:t xml:space="preserve"> Countries of the EU</w:t>
      </w:r>
      <w:r>
        <w:rPr>
          <w:rFonts w:hint="eastAsia"/>
        </w:rPr>
        <w:t xml:space="preserve">, </w:t>
      </w:r>
      <w:r w:rsidRPr="0098403D">
        <w:rPr>
          <w:rFonts w:hint="eastAsia"/>
        </w:rPr>
        <w:t xml:space="preserve">Occasional Papers No.48. </w:t>
      </w:r>
    </w:p>
    <w:p w:rsidR="00764ECC" w:rsidRPr="00764ECC" w:rsidRDefault="00320076" w:rsidP="00C80B55">
      <w:pPr>
        <w:spacing w:line="240" w:lineRule="exact"/>
        <w:ind w:left="283" w:hangingChars="135" w:hanging="283"/>
        <w:jc w:val="left"/>
        <w:rPr>
          <w:szCs w:val="21"/>
        </w:rPr>
      </w:pPr>
      <w:r w:rsidRPr="00387717">
        <w:rPr>
          <w:rFonts w:hint="eastAsia"/>
          <w:szCs w:val="21"/>
        </w:rPr>
        <w:t xml:space="preserve">European Council (2009), </w:t>
      </w:r>
      <w:r w:rsidRPr="00387717">
        <w:rPr>
          <w:rFonts w:hint="eastAsia"/>
          <w:i/>
          <w:szCs w:val="21"/>
        </w:rPr>
        <w:t>Eighth Meeting of the EU-Morocco Association Council (Brussels, 7 December 2009)</w:t>
      </w:r>
      <w:r w:rsidRPr="00387717">
        <w:rPr>
          <w:rFonts w:hint="eastAsia"/>
          <w:szCs w:val="21"/>
        </w:rPr>
        <w:t>, 17233/09 (</w:t>
      </w:r>
      <w:proofErr w:type="spellStart"/>
      <w:r w:rsidRPr="00387717">
        <w:rPr>
          <w:rFonts w:hint="eastAsia"/>
          <w:szCs w:val="21"/>
        </w:rPr>
        <w:t>Presse</w:t>
      </w:r>
      <w:proofErr w:type="spellEnd"/>
      <w:r w:rsidRPr="00387717">
        <w:rPr>
          <w:rFonts w:hint="eastAsia"/>
          <w:szCs w:val="21"/>
        </w:rPr>
        <w:t xml:space="preserve"> 372</w:t>
      </w:r>
      <w:r>
        <w:rPr>
          <w:rFonts w:hint="eastAsia"/>
          <w:szCs w:val="21"/>
        </w:rPr>
        <w:t xml:space="preserve">). </w:t>
      </w:r>
    </w:p>
    <w:p w:rsidR="00320076" w:rsidRDefault="00320076" w:rsidP="00764ECC">
      <w:pPr>
        <w:spacing w:line="240" w:lineRule="exact"/>
        <w:ind w:left="283" w:hangingChars="135" w:hanging="283"/>
        <w:jc w:val="left"/>
      </w:pPr>
      <w:r w:rsidRPr="004C68E7">
        <w:t xml:space="preserve">European </w:t>
      </w:r>
      <w:proofErr w:type="spellStart"/>
      <w:r w:rsidRPr="004C68E7">
        <w:t>Neighbourhood</w:t>
      </w:r>
      <w:proofErr w:type="spellEnd"/>
      <w:r w:rsidRPr="004C68E7">
        <w:t xml:space="preserve"> and Partnership Instrument , </w:t>
      </w:r>
      <w:r w:rsidRPr="004C68E7">
        <w:rPr>
          <w:i/>
          <w:iCs/>
        </w:rPr>
        <w:t>Strategy Paper</w:t>
      </w:r>
      <w:r w:rsidRPr="004C68E7">
        <w:rPr>
          <w:rFonts w:hint="eastAsia"/>
          <w:i/>
          <w:iCs/>
        </w:rPr>
        <w:t xml:space="preserve"> (</w:t>
      </w:r>
      <w:r w:rsidRPr="004C68E7">
        <w:rPr>
          <w:i/>
          <w:iCs/>
        </w:rPr>
        <w:t>2007-2013</w:t>
      </w:r>
      <w:r w:rsidRPr="004C68E7">
        <w:rPr>
          <w:rFonts w:hint="eastAsia"/>
          <w:i/>
          <w:iCs/>
        </w:rPr>
        <w:t>)</w:t>
      </w:r>
      <w:r w:rsidRPr="004C68E7">
        <w:t xml:space="preserve">, various issues. </w:t>
      </w:r>
    </w:p>
    <w:p w:rsidR="00C80B55" w:rsidRPr="004C68E7" w:rsidRDefault="00C80B55" w:rsidP="00C80B55">
      <w:pPr>
        <w:spacing w:line="240" w:lineRule="exact"/>
        <w:ind w:left="283" w:hangingChars="135" w:hanging="283"/>
        <w:jc w:val="left"/>
      </w:pPr>
      <w:proofErr w:type="spellStart"/>
      <w:r>
        <w:rPr>
          <w:rFonts w:hint="eastAsia"/>
        </w:rPr>
        <w:t>Hufbauer</w:t>
      </w:r>
      <w:proofErr w:type="spellEnd"/>
      <w:r>
        <w:rPr>
          <w:rFonts w:hint="eastAsia"/>
        </w:rPr>
        <w:t xml:space="preserve">, C. G. and Brunel, C. eds. (2008), </w:t>
      </w:r>
      <w:r w:rsidRPr="00C80B55">
        <w:rPr>
          <w:rFonts w:hint="eastAsia"/>
          <w:i/>
        </w:rPr>
        <w:t>Maghreb Regional and Global Integration: A Dream to Be Fulfilled</w:t>
      </w:r>
      <w:r>
        <w:rPr>
          <w:rFonts w:hint="eastAsia"/>
        </w:rPr>
        <w:t>, Peterson Institute for International Economics.</w:t>
      </w:r>
    </w:p>
    <w:p w:rsidR="00CE3B72" w:rsidRDefault="00764ECC" w:rsidP="00CE3B72">
      <w:pPr>
        <w:spacing w:line="240" w:lineRule="atLeast"/>
        <w:ind w:left="178" w:hangingChars="85" w:hanging="178"/>
        <w:jc w:val="left"/>
      </w:pPr>
      <w:r>
        <w:rPr>
          <w:rFonts w:hint="eastAsia"/>
        </w:rPr>
        <w:lastRenderedPageBreak/>
        <w:t>IE Med. (2010</w:t>
      </w:r>
      <w:r w:rsidR="00320076">
        <w:rPr>
          <w:rFonts w:hint="eastAsia"/>
        </w:rPr>
        <w:t xml:space="preserve">), </w:t>
      </w:r>
      <w:r>
        <w:rPr>
          <w:rFonts w:hint="eastAsia"/>
          <w:i/>
        </w:rPr>
        <w:t>Med.2010</w:t>
      </w:r>
      <w:r w:rsidR="00320076" w:rsidRPr="00063A38">
        <w:rPr>
          <w:rFonts w:hint="eastAsia"/>
          <w:i/>
        </w:rPr>
        <w:t xml:space="preserve"> Mediterranean </w:t>
      </w:r>
      <w:proofErr w:type="spellStart"/>
      <w:r w:rsidR="00320076" w:rsidRPr="00063A38">
        <w:rPr>
          <w:rFonts w:hint="eastAsia"/>
          <w:i/>
        </w:rPr>
        <w:t>YearBook</w:t>
      </w:r>
      <w:proofErr w:type="spellEnd"/>
      <w:r w:rsidR="00320076">
        <w:rPr>
          <w:rFonts w:hint="eastAsia"/>
        </w:rPr>
        <w:t>, IE Med.</w:t>
      </w:r>
      <w:r w:rsidR="00CE3B72" w:rsidRPr="00CE3B72">
        <w:rPr>
          <w:rFonts w:hint="eastAsia"/>
        </w:rPr>
        <w:t xml:space="preserve"> </w:t>
      </w:r>
    </w:p>
    <w:p w:rsidR="00320076" w:rsidRPr="00CE3B72" w:rsidRDefault="00CE3B72" w:rsidP="00CE3B72">
      <w:pPr>
        <w:spacing w:line="240" w:lineRule="atLeast"/>
        <w:ind w:left="178" w:hangingChars="85" w:hanging="178"/>
        <w:jc w:val="left"/>
      </w:pPr>
      <w:r>
        <w:rPr>
          <w:rFonts w:hint="eastAsia"/>
        </w:rPr>
        <w:t>IMF(2011), Morocco Statement of the 2011 Article</w:t>
      </w:r>
      <w:r>
        <w:rPr>
          <w:rFonts w:hint="eastAsia"/>
        </w:rPr>
        <w:t>Ⅳ</w:t>
      </w:r>
      <w:r>
        <w:rPr>
          <w:rFonts w:hint="eastAsia"/>
        </w:rPr>
        <w:t>Consultation.</w:t>
      </w:r>
    </w:p>
    <w:p w:rsidR="00764ECC" w:rsidRDefault="00764ECC" w:rsidP="00D67740">
      <w:pPr>
        <w:tabs>
          <w:tab w:val="left" w:pos="142"/>
        </w:tabs>
        <w:spacing w:line="240" w:lineRule="exact"/>
        <w:ind w:left="141" w:hangingChars="67" w:hanging="141"/>
        <w:jc w:val="left"/>
        <w:rPr>
          <w:szCs w:val="21"/>
        </w:rPr>
      </w:pPr>
      <w:proofErr w:type="spellStart"/>
      <w:r w:rsidRPr="001B2224">
        <w:rPr>
          <w:rFonts w:hint="eastAsia"/>
          <w:szCs w:val="21"/>
        </w:rPr>
        <w:t>Jaidi</w:t>
      </w:r>
      <w:proofErr w:type="spellEnd"/>
      <w:r>
        <w:rPr>
          <w:rFonts w:hint="eastAsia"/>
          <w:szCs w:val="21"/>
        </w:rPr>
        <w:t>, L.</w:t>
      </w:r>
      <w:r w:rsidRPr="001B2224">
        <w:rPr>
          <w:rFonts w:hint="eastAsia"/>
          <w:szCs w:val="21"/>
        </w:rPr>
        <w:t xml:space="preserve"> (2009), </w:t>
      </w:r>
      <w:r w:rsidRPr="001B2224">
        <w:rPr>
          <w:szCs w:val="21"/>
        </w:rPr>
        <w:t>“</w:t>
      </w:r>
      <w:r w:rsidRPr="001B2224">
        <w:rPr>
          <w:rFonts w:hint="eastAsia"/>
          <w:szCs w:val="21"/>
        </w:rPr>
        <w:t xml:space="preserve">The Morocco/ EU Advanced Status: What Value Does it Add to the European </w:t>
      </w:r>
      <w:proofErr w:type="spellStart"/>
      <w:r w:rsidRPr="001B2224">
        <w:rPr>
          <w:rFonts w:hint="eastAsia"/>
          <w:szCs w:val="21"/>
        </w:rPr>
        <w:t>Neighbourhood</w:t>
      </w:r>
      <w:proofErr w:type="spellEnd"/>
      <w:r w:rsidRPr="001B2224">
        <w:rPr>
          <w:rFonts w:hint="eastAsia"/>
          <w:szCs w:val="21"/>
        </w:rPr>
        <w:t xml:space="preserve"> Policy?</w:t>
      </w:r>
      <w:r w:rsidRPr="001B2224">
        <w:rPr>
          <w:szCs w:val="21"/>
        </w:rPr>
        <w:t>”</w:t>
      </w:r>
      <w:r>
        <w:rPr>
          <w:rFonts w:hint="eastAsia"/>
          <w:szCs w:val="21"/>
        </w:rPr>
        <w:t xml:space="preserve">, </w:t>
      </w:r>
      <w:r w:rsidRPr="002B198E">
        <w:rPr>
          <w:rFonts w:hint="eastAsia"/>
          <w:i/>
          <w:szCs w:val="21"/>
        </w:rPr>
        <w:t>Med.2009 Mediterranean Yearbook</w:t>
      </w:r>
      <w:r>
        <w:rPr>
          <w:rFonts w:hint="eastAsia"/>
          <w:szCs w:val="21"/>
        </w:rPr>
        <w:t xml:space="preserve">, </w:t>
      </w:r>
      <w:r w:rsidRPr="001B2224">
        <w:rPr>
          <w:rFonts w:hint="eastAsia"/>
          <w:szCs w:val="21"/>
        </w:rPr>
        <w:t xml:space="preserve">pp.149-154, </w:t>
      </w:r>
      <w:proofErr w:type="spellStart"/>
      <w:r w:rsidRPr="001B2224">
        <w:rPr>
          <w:rFonts w:hint="eastAsia"/>
          <w:szCs w:val="21"/>
        </w:rPr>
        <w:t>IE.Med</w:t>
      </w:r>
      <w:proofErr w:type="spellEnd"/>
      <w:r w:rsidRPr="001B2224">
        <w:rPr>
          <w:rFonts w:hint="eastAsia"/>
          <w:szCs w:val="21"/>
        </w:rPr>
        <w:t>.</w:t>
      </w:r>
    </w:p>
    <w:p w:rsidR="00764ECC" w:rsidRDefault="00CE3B72" w:rsidP="00CE3B72">
      <w:pPr>
        <w:spacing w:line="240" w:lineRule="exact"/>
        <w:ind w:left="178" w:hangingChars="85" w:hanging="178"/>
        <w:jc w:val="left"/>
      </w:pPr>
      <w:proofErr w:type="spellStart"/>
      <w:r>
        <w:rPr>
          <w:rFonts w:hint="eastAsia"/>
        </w:rPr>
        <w:t>Jaidi</w:t>
      </w:r>
      <w:proofErr w:type="spellEnd"/>
      <w:r>
        <w:rPr>
          <w:rFonts w:hint="eastAsia"/>
        </w:rPr>
        <w:t xml:space="preserve">, L. and </w:t>
      </w:r>
      <w:proofErr w:type="spellStart"/>
      <w:r>
        <w:rPr>
          <w:rFonts w:hint="eastAsia"/>
        </w:rPr>
        <w:t>Martin,L</w:t>
      </w:r>
      <w:proofErr w:type="spellEnd"/>
      <w:r>
        <w:rPr>
          <w:rFonts w:hint="eastAsia"/>
        </w:rPr>
        <w:t xml:space="preserve"> (2010),</w:t>
      </w:r>
      <w:r w:rsidRPr="00CE3B72">
        <w:rPr>
          <w:rFonts w:hint="eastAsia"/>
          <w:i/>
        </w:rPr>
        <w:t xml:space="preserve"> Comment faire </w:t>
      </w:r>
      <w:r w:rsidRPr="00CE3B72">
        <w:rPr>
          <w:i/>
        </w:rPr>
        <w:t>advancer</w:t>
      </w:r>
      <w:r w:rsidRPr="00CE3B72">
        <w:rPr>
          <w:rFonts w:hint="eastAsia"/>
          <w:i/>
        </w:rPr>
        <w:t xml:space="preserve"> le </w:t>
      </w:r>
      <w:proofErr w:type="spellStart"/>
      <w:r w:rsidRPr="00CE3B72">
        <w:rPr>
          <w:rFonts w:hint="eastAsia"/>
          <w:i/>
        </w:rPr>
        <w:t>Statut</w:t>
      </w:r>
      <w:proofErr w:type="spellEnd"/>
      <w:r w:rsidRPr="00CE3B72">
        <w:rPr>
          <w:rFonts w:hint="eastAsia"/>
          <w:i/>
        </w:rPr>
        <w:t xml:space="preserve"> </w:t>
      </w:r>
      <w:proofErr w:type="spellStart"/>
      <w:r w:rsidRPr="00CE3B72">
        <w:rPr>
          <w:rFonts w:hint="eastAsia"/>
          <w:i/>
        </w:rPr>
        <w:t>Avancé</w:t>
      </w:r>
      <w:proofErr w:type="spellEnd"/>
      <w:r w:rsidRPr="00CE3B72">
        <w:rPr>
          <w:rFonts w:hint="eastAsia"/>
          <w:i/>
        </w:rPr>
        <w:t xml:space="preserve"> UE-</w:t>
      </w:r>
      <w:proofErr w:type="spellStart"/>
      <w:r w:rsidRPr="00CE3B72">
        <w:rPr>
          <w:rFonts w:hint="eastAsia"/>
          <w:i/>
        </w:rPr>
        <w:t>Maroc</w:t>
      </w:r>
      <w:proofErr w:type="spellEnd"/>
      <w:r w:rsidRPr="00CE3B72">
        <w:rPr>
          <w:rFonts w:hint="eastAsia"/>
          <w:i/>
        </w:rPr>
        <w:t>?</w:t>
      </w:r>
      <w:r>
        <w:rPr>
          <w:rFonts w:hint="eastAsia"/>
        </w:rPr>
        <w:t>, DOCUMENTS IE Med.</w:t>
      </w:r>
    </w:p>
    <w:p w:rsidR="00CE3B72" w:rsidRDefault="00CE3B72" w:rsidP="00764ECC">
      <w:pPr>
        <w:spacing w:line="240" w:lineRule="atLeast"/>
        <w:ind w:left="178" w:hangingChars="85" w:hanging="178"/>
        <w:jc w:val="left"/>
      </w:pPr>
    </w:p>
    <w:p w:rsidR="00764ECC" w:rsidRPr="00764ECC" w:rsidRDefault="00764ECC" w:rsidP="00764ECC">
      <w:pPr>
        <w:spacing w:line="240" w:lineRule="atLeast"/>
        <w:ind w:left="178" w:hangingChars="85" w:hanging="178"/>
        <w:jc w:val="left"/>
      </w:pPr>
      <w:r w:rsidRPr="00764ECC">
        <w:rPr>
          <w:rFonts w:hint="eastAsia"/>
        </w:rPr>
        <w:t>定期刊行物</w:t>
      </w:r>
    </w:p>
    <w:p w:rsidR="00764ECC" w:rsidRDefault="00764ECC" w:rsidP="00764ECC">
      <w:pPr>
        <w:spacing w:line="240" w:lineRule="atLeast"/>
        <w:ind w:left="178" w:hangingChars="85" w:hanging="178"/>
        <w:jc w:val="left"/>
      </w:pPr>
      <w:r w:rsidRPr="00764ECC">
        <w:rPr>
          <w:rFonts w:hint="eastAsia"/>
        </w:rPr>
        <w:t xml:space="preserve">ANIMA, </w:t>
      </w:r>
      <w:r w:rsidR="003241D8">
        <w:rPr>
          <w:rFonts w:hint="eastAsia"/>
          <w:i/>
        </w:rPr>
        <w:t>Foreign D</w:t>
      </w:r>
      <w:r w:rsidR="003241D8" w:rsidRPr="003241D8">
        <w:rPr>
          <w:rFonts w:hint="eastAsia"/>
          <w:i/>
        </w:rPr>
        <w:t xml:space="preserve">irect </w:t>
      </w:r>
      <w:r w:rsidRPr="003241D8">
        <w:rPr>
          <w:rFonts w:hint="eastAsia"/>
          <w:i/>
        </w:rPr>
        <w:t xml:space="preserve">Invest in </w:t>
      </w:r>
      <w:r w:rsidR="003241D8" w:rsidRPr="003241D8">
        <w:rPr>
          <w:rFonts w:hint="eastAsia"/>
          <w:i/>
        </w:rPr>
        <w:t>the M</w:t>
      </w:r>
      <w:r w:rsidRPr="003241D8">
        <w:rPr>
          <w:rFonts w:hint="eastAsia"/>
          <w:i/>
        </w:rPr>
        <w:t>ed</w:t>
      </w:r>
      <w:r w:rsidR="003241D8" w:rsidRPr="003241D8">
        <w:rPr>
          <w:rFonts w:hint="eastAsia"/>
          <w:i/>
        </w:rPr>
        <w:t xml:space="preserve"> Countries</w:t>
      </w:r>
      <w:r w:rsidRPr="00764ECC">
        <w:rPr>
          <w:rFonts w:hint="eastAsia"/>
        </w:rPr>
        <w:t xml:space="preserve"> ,</w:t>
      </w:r>
      <w:r w:rsidRPr="00764ECC">
        <w:t>various</w:t>
      </w:r>
      <w:r w:rsidR="003241D8">
        <w:rPr>
          <w:rFonts w:hint="eastAsia"/>
        </w:rPr>
        <w:t xml:space="preserve"> years</w:t>
      </w:r>
      <w:r w:rsidRPr="00764ECC">
        <w:rPr>
          <w:rFonts w:hint="eastAsia"/>
        </w:rPr>
        <w:t>.</w:t>
      </w:r>
    </w:p>
    <w:p w:rsidR="006B3C0C" w:rsidRDefault="006B3C0C" w:rsidP="00764ECC">
      <w:pPr>
        <w:spacing w:line="240" w:lineRule="atLeast"/>
        <w:ind w:left="178" w:hangingChars="85" w:hanging="178"/>
        <w:jc w:val="left"/>
      </w:pPr>
      <w:proofErr w:type="spellStart"/>
      <w:r>
        <w:rPr>
          <w:rFonts w:hint="eastAsia"/>
        </w:rPr>
        <w:t>Attijariwafa</w:t>
      </w:r>
      <w:proofErr w:type="spellEnd"/>
      <w:r>
        <w:rPr>
          <w:rFonts w:hint="eastAsia"/>
        </w:rPr>
        <w:t xml:space="preserve">, </w:t>
      </w:r>
      <w:r w:rsidRPr="00764ECC">
        <w:rPr>
          <w:rFonts w:hint="eastAsia"/>
          <w:i/>
        </w:rPr>
        <w:t xml:space="preserve">Rapport </w:t>
      </w:r>
      <w:proofErr w:type="spellStart"/>
      <w:r w:rsidRPr="00764ECC">
        <w:rPr>
          <w:rFonts w:hint="eastAsia"/>
          <w:i/>
        </w:rPr>
        <w:t>Annuel</w:t>
      </w:r>
      <w:proofErr w:type="spellEnd"/>
      <w:r>
        <w:rPr>
          <w:rFonts w:hint="eastAsia"/>
        </w:rPr>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6B3C0C" w:rsidRDefault="00764ECC" w:rsidP="006B3C0C">
      <w:pPr>
        <w:spacing w:line="240" w:lineRule="atLeast"/>
        <w:ind w:left="178" w:hangingChars="85" w:hanging="178"/>
        <w:jc w:val="left"/>
      </w:pPr>
      <w:r>
        <w:rPr>
          <w:rFonts w:hint="eastAsia"/>
        </w:rPr>
        <w:t>Bank Al-</w:t>
      </w:r>
      <w:proofErr w:type="spellStart"/>
      <w:r>
        <w:rPr>
          <w:rFonts w:hint="eastAsia"/>
        </w:rPr>
        <w:t>Magrib</w:t>
      </w:r>
      <w:proofErr w:type="spellEnd"/>
      <w:r>
        <w:rPr>
          <w:rFonts w:hint="eastAsia"/>
        </w:rPr>
        <w:t>,</w:t>
      </w:r>
      <w:r w:rsidRPr="00764ECC">
        <w:rPr>
          <w:rFonts w:hint="eastAsia"/>
          <w:i/>
        </w:rPr>
        <w:t xml:space="preserve"> Rapport </w:t>
      </w:r>
      <w:proofErr w:type="spellStart"/>
      <w:r w:rsidRPr="00764ECC">
        <w:rPr>
          <w:rFonts w:hint="eastAsia"/>
          <w:i/>
        </w:rPr>
        <w:t>Annuel</w:t>
      </w:r>
      <w:proofErr w:type="spellEnd"/>
      <w:r>
        <w:rPr>
          <w:rFonts w:hint="eastAsia"/>
        </w:rPr>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6B3C0C" w:rsidRDefault="006B3C0C" w:rsidP="006B3C0C">
      <w:pPr>
        <w:spacing w:line="240" w:lineRule="atLeast"/>
        <w:ind w:left="178" w:hangingChars="85" w:hanging="178"/>
        <w:jc w:val="left"/>
      </w:pPr>
      <w:r>
        <w:rPr>
          <w:rFonts w:hint="eastAsia"/>
        </w:rPr>
        <w:t>Bank Al-</w:t>
      </w:r>
      <w:proofErr w:type="spellStart"/>
      <w:r>
        <w:rPr>
          <w:rFonts w:hint="eastAsia"/>
        </w:rPr>
        <w:t>Magrib</w:t>
      </w:r>
      <w:proofErr w:type="spellEnd"/>
      <w:r>
        <w:rPr>
          <w:rFonts w:hint="eastAsia"/>
        </w:rPr>
        <w:t xml:space="preserve">, </w:t>
      </w:r>
      <w:r w:rsidRPr="00F41BE4">
        <w:rPr>
          <w:rFonts w:hint="eastAsia"/>
          <w:i/>
        </w:rPr>
        <w:t xml:space="preserve">Sur le </w:t>
      </w:r>
      <w:proofErr w:type="spellStart"/>
      <w:r w:rsidRPr="00F41BE4">
        <w:rPr>
          <w:rFonts w:hint="eastAsia"/>
          <w:i/>
        </w:rPr>
        <w:t>Controle</w:t>
      </w:r>
      <w:proofErr w:type="spellEnd"/>
      <w:r w:rsidRPr="00F41BE4">
        <w:rPr>
          <w:rFonts w:hint="eastAsia"/>
          <w:i/>
        </w:rPr>
        <w:t xml:space="preserve">, </w:t>
      </w:r>
      <w:proofErr w:type="spellStart"/>
      <w:r w:rsidRPr="00F41BE4">
        <w:rPr>
          <w:rFonts w:hint="eastAsia"/>
          <w:i/>
        </w:rPr>
        <w:t>l</w:t>
      </w:r>
      <w:r w:rsidRPr="00F41BE4">
        <w:rPr>
          <w:i/>
        </w:rPr>
        <w:t>’</w:t>
      </w:r>
      <w:r w:rsidRPr="00F41BE4">
        <w:rPr>
          <w:rFonts w:hint="eastAsia"/>
          <w:i/>
        </w:rPr>
        <w:t>Activite</w:t>
      </w:r>
      <w:proofErr w:type="spellEnd"/>
      <w:r w:rsidRPr="00F41BE4">
        <w:rPr>
          <w:rFonts w:hint="eastAsia"/>
          <w:i/>
        </w:rPr>
        <w:t xml:space="preserve"> et les </w:t>
      </w:r>
      <w:proofErr w:type="spellStart"/>
      <w:r w:rsidRPr="00F41BE4">
        <w:rPr>
          <w:rFonts w:hint="eastAsia"/>
          <w:i/>
        </w:rPr>
        <w:t>Resultats</w:t>
      </w:r>
      <w:proofErr w:type="spellEnd"/>
      <w:r w:rsidRPr="00F41BE4">
        <w:rPr>
          <w:rFonts w:hint="eastAsia"/>
          <w:i/>
        </w:rPr>
        <w:t xml:space="preserve"> des </w:t>
      </w:r>
      <w:proofErr w:type="spellStart"/>
      <w:r w:rsidRPr="00F41BE4">
        <w:rPr>
          <w:rFonts w:hint="eastAsia"/>
          <w:i/>
        </w:rPr>
        <w:t>Etablissments</w:t>
      </w:r>
      <w:proofErr w:type="spellEnd"/>
      <w:r w:rsidRPr="00F41BE4">
        <w:rPr>
          <w:rFonts w:hint="eastAsia"/>
          <w:i/>
        </w:rPr>
        <w:t xml:space="preserve"> de Credit</w:t>
      </w:r>
      <w:r w:rsidR="00F41BE4">
        <w:rPr>
          <w:rFonts w:hint="eastAsia"/>
        </w:rPr>
        <w:t xml:space="preserve">, </w:t>
      </w:r>
      <w:proofErr w:type="spellStart"/>
      <w:r w:rsidR="00F41BE4">
        <w:rPr>
          <w:rFonts w:hint="eastAsia"/>
        </w:rPr>
        <w:t>diverses</w:t>
      </w:r>
      <w:proofErr w:type="spellEnd"/>
      <w:r w:rsidR="00F41BE4">
        <w:rPr>
          <w:rFonts w:hint="eastAsia"/>
        </w:rPr>
        <w:t xml:space="preserve"> editions.</w:t>
      </w:r>
    </w:p>
    <w:p w:rsidR="006B3C0C" w:rsidRDefault="006B3C0C" w:rsidP="006B3C0C">
      <w:pPr>
        <w:spacing w:line="240" w:lineRule="atLeast"/>
        <w:ind w:left="178" w:hangingChars="85" w:hanging="178"/>
        <w:jc w:val="left"/>
      </w:pPr>
      <w:r>
        <w:rPr>
          <w:rFonts w:hint="eastAsia"/>
        </w:rPr>
        <w:t>BMCE (</w:t>
      </w:r>
      <w:proofErr w:type="spellStart"/>
      <w:r w:rsidR="008401F5">
        <w:rPr>
          <w:rFonts w:hint="eastAsia"/>
        </w:rPr>
        <w:t>Banque</w:t>
      </w:r>
      <w:proofErr w:type="spellEnd"/>
      <w:r w:rsidR="008401F5">
        <w:rPr>
          <w:rFonts w:hint="eastAsia"/>
        </w:rPr>
        <w:t xml:space="preserve"> </w:t>
      </w:r>
      <w:proofErr w:type="spellStart"/>
      <w:r w:rsidR="008401F5">
        <w:rPr>
          <w:rFonts w:hint="eastAsia"/>
        </w:rPr>
        <w:t>Marocaine</w:t>
      </w:r>
      <w:proofErr w:type="spellEnd"/>
      <w:r w:rsidR="008401F5">
        <w:rPr>
          <w:rFonts w:hint="eastAsia"/>
        </w:rPr>
        <w:t xml:space="preserve"> du Commerce </w:t>
      </w:r>
      <w:proofErr w:type="spellStart"/>
      <w:r w:rsidR="008401F5">
        <w:rPr>
          <w:rFonts w:hint="eastAsia"/>
        </w:rPr>
        <w:t>Extérieur</w:t>
      </w:r>
      <w:proofErr w:type="spellEnd"/>
      <w:r>
        <w:rPr>
          <w:rFonts w:hint="eastAsia"/>
        </w:rPr>
        <w:t xml:space="preserve">), </w:t>
      </w:r>
      <w:r w:rsidRPr="00764ECC">
        <w:rPr>
          <w:rFonts w:hint="eastAsia"/>
          <w:i/>
        </w:rPr>
        <w:t xml:space="preserve">Rapport </w:t>
      </w:r>
      <w:proofErr w:type="spellStart"/>
      <w:r w:rsidRPr="00764ECC">
        <w:rPr>
          <w:rFonts w:hint="eastAsia"/>
          <w:i/>
        </w:rPr>
        <w:t>Annuel</w:t>
      </w:r>
      <w:proofErr w:type="spellEnd"/>
      <w:r>
        <w:rPr>
          <w:rFonts w:hint="eastAsia"/>
        </w:rPr>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764ECC" w:rsidRDefault="006B3C0C" w:rsidP="00F41BE4">
      <w:pPr>
        <w:spacing w:line="240" w:lineRule="atLeast"/>
        <w:ind w:left="178" w:hangingChars="85" w:hanging="178"/>
        <w:jc w:val="left"/>
      </w:pPr>
      <w:r>
        <w:rPr>
          <w:rFonts w:hint="eastAsia"/>
        </w:rPr>
        <w:t>BMCI (</w:t>
      </w:r>
      <w:proofErr w:type="spellStart"/>
      <w:r>
        <w:rPr>
          <w:rFonts w:hint="eastAsia"/>
        </w:rPr>
        <w:t>Banque</w:t>
      </w:r>
      <w:proofErr w:type="spellEnd"/>
      <w:r>
        <w:rPr>
          <w:rFonts w:hint="eastAsia"/>
        </w:rPr>
        <w:t xml:space="preserve"> </w:t>
      </w:r>
      <w:proofErr w:type="spellStart"/>
      <w:r>
        <w:rPr>
          <w:rFonts w:hint="eastAsia"/>
        </w:rPr>
        <w:t>Marocaine</w:t>
      </w:r>
      <w:proofErr w:type="spellEnd"/>
      <w:r>
        <w:rPr>
          <w:rFonts w:hint="eastAsia"/>
        </w:rPr>
        <w:t xml:space="preserve"> pour le Commerce et </w:t>
      </w:r>
      <w:proofErr w:type="spellStart"/>
      <w:r>
        <w:rPr>
          <w:rFonts w:hint="eastAsia"/>
        </w:rPr>
        <w:t>l</w:t>
      </w:r>
      <w:r>
        <w:t>’</w:t>
      </w:r>
      <w:r>
        <w:rPr>
          <w:rFonts w:hint="eastAsia"/>
        </w:rPr>
        <w:t>Industrie</w:t>
      </w:r>
      <w:proofErr w:type="spellEnd"/>
      <w:r>
        <w:rPr>
          <w:rFonts w:hint="eastAsia"/>
        </w:rPr>
        <w:t xml:space="preserve">), </w:t>
      </w:r>
      <w:r w:rsidRPr="00764ECC">
        <w:rPr>
          <w:rFonts w:hint="eastAsia"/>
          <w:i/>
        </w:rPr>
        <w:t xml:space="preserve">Rapport </w:t>
      </w:r>
      <w:proofErr w:type="spellStart"/>
      <w:r w:rsidRPr="00764ECC">
        <w:rPr>
          <w:rFonts w:hint="eastAsia"/>
          <w:i/>
        </w:rPr>
        <w:t>Annuel</w:t>
      </w:r>
      <w:proofErr w:type="spellEnd"/>
      <w:r>
        <w:rPr>
          <w:rFonts w:hint="eastAsia"/>
        </w:rPr>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764ECC" w:rsidRPr="00764ECC" w:rsidRDefault="00764ECC" w:rsidP="00764ECC">
      <w:pPr>
        <w:spacing w:line="240" w:lineRule="atLeast"/>
        <w:ind w:left="178" w:hangingChars="85" w:hanging="178"/>
        <w:jc w:val="left"/>
      </w:pPr>
      <w:r>
        <w:rPr>
          <w:rFonts w:hint="eastAsia"/>
        </w:rPr>
        <w:t xml:space="preserve">BIS (Bank for International Settlements), </w:t>
      </w:r>
      <w:r w:rsidRPr="00764ECC">
        <w:rPr>
          <w:rFonts w:hint="eastAsia"/>
          <w:i/>
        </w:rPr>
        <w:t>Quarterly Review</w:t>
      </w:r>
      <w:r>
        <w:rPr>
          <w:rFonts w:hint="eastAsia"/>
        </w:rPr>
        <w:t>, various issues.</w:t>
      </w:r>
    </w:p>
    <w:p w:rsidR="00764ECC" w:rsidRPr="00764ECC" w:rsidRDefault="00764ECC" w:rsidP="00764ECC">
      <w:pPr>
        <w:spacing w:line="240" w:lineRule="atLeast"/>
        <w:ind w:left="178" w:hangingChars="85" w:hanging="178"/>
        <w:jc w:val="left"/>
      </w:pPr>
      <w:r w:rsidRPr="00764ECC">
        <w:t>Eurostat</w:t>
      </w:r>
      <w:r w:rsidRPr="00764ECC">
        <w:rPr>
          <w:rFonts w:hint="eastAsia"/>
        </w:rPr>
        <w:t xml:space="preserve">, </w:t>
      </w:r>
      <w:r w:rsidRPr="00764ECC">
        <w:rPr>
          <w:i/>
          <w:iCs/>
        </w:rPr>
        <w:t xml:space="preserve">Statistics in focus </w:t>
      </w:r>
      <w:r w:rsidRPr="00764ECC">
        <w:rPr>
          <w:rFonts w:hint="eastAsia"/>
        </w:rPr>
        <w:t>,</w:t>
      </w:r>
      <w:r w:rsidRPr="00764ECC">
        <w:t>various issues</w:t>
      </w:r>
      <w:r w:rsidRPr="00764ECC">
        <w:rPr>
          <w:rFonts w:hint="eastAsia"/>
        </w:rPr>
        <w:t>.</w:t>
      </w:r>
    </w:p>
    <w:p w:rsidR="00F41BE4" w:rsidRDefault="00F41BE4" w:rsidP="00764ECC">
      <w:pPr>
        <w:spacing w:line="240" w:lineRule="atLeast"/>
        <w:ind w:left="178" w:hangingChars="85" w:hanging="178"/>
        <w:jc w:val="left"/>
      </w:pPr>
      <w:r w:rsidRPr="002A63EA">
        <w:rPr>
          <w:rFonts w:hint="eastAsia"/>
        </w:rPr>
        <w:t xml:space="preserve">Eyre and </w:t>
      </w:r>
      <w:proofErr w:type="spellStart"/>
      <w:r w:rsidRPr="002A63EA">
        <w:rPr>
          <w:rFonts w:hint="eastAsia"/>
        </w:rPr>
        <w:t>Spottiswoode</w:t>
      </w:r>
      <w:proofErr w:type="spellEnd"/>
      <w:r>
        <w:rPr>
          <w:rFonts w:hint="eastAsia"/>
        </w:rPr>
        <w:t xml:space="preserve">, </w:t>
      </w:r>
      <w:r w:rsidRPr="006B3C0C">
        <w:rPr>
          <w:rFonts w:hint="eastAsia"/>
          <w:i/>
        </w:rPr>
        <w:t>The Banker</w:t>
      </w:r>
      <w:r>
        <w:rPr>
          <w:rFonts w:hint="eastAsia"/>
        </w:rPr>
        <w:t>, various issues.</w:t>
      </w:r>
    </w:p>
    <w:p w:rsidR="00F41BE4" w:rsidRPr="00F41BE4" w:rsidRDefault="00F41BE4" w:rsidP="00F41BE4">
      <w:pPr>
        <w:spacing w:line="240" w:lineRule="atLeast"/>
        <w:ind w:left="178" w:hangingChars="85" w:hanging="178"/>
        <w:jc w:val="left"/>
      </w:pPr>
      <w:proofErr w:type="spellStart"/>
      <w:r>
        <w:rPr>
          <w:rFonts w:hint="eastAsia"/>
        </w:rPr>
        <w:t>Groupe</w:t>
      </w:r>
      <w:proofErr w:type="spellEnd"/>
      <w:r>
        <w:rPr>
          <w:rFonts w:hint="eastAsia"/>
        </w:rPr>
        <w:t xml:space="preserve"> </w:t>
      </w:r>
      <w:proofErr w:type="spellStart"/>
      <w:r>
        <w:rPr>
          <w:rFonts w:hint="eastAsia"/>
        </w:rPr>
        <w:t>Banque</w:t>
      </w:r>
      <w:proofErr w:type="spellEnd"/>
      <w:r>
        <w:rPr>
          <w:rFonts w:hint="eastAsia"/>
        </w:rPr>
        <w:t xml:space="preserve"> </w:t>
      </w:r>
      <w:proofErr w:type="spellStart"/>
      <w:r>
        <w:rPr>
          <w:rFonts w:hint="eastAsia"/>
        </w:rPr>
        <w:t>Populaire</w:t>
      </w:r>
      <w:proofErr w:type="spellEnd"/>
      <w:r>
        <w:rPr>
          <w:rFonts w:hint="eastAsia"/>
        </w:rPr>
        <w:t>,</w:t>
      </w:r>
      <w:r w:rsidRPr="00F41BE4">
        <w:rPr>
          <w:rFonts w:hint="eastAsia"/>
          <w:i/>
        </w:rPr>
        <w:t xml:space="preserve"> </w:t>
      </w:r>
      <w:r w:rsidRPr="00764ECC">
        <w:rPr>
          <w:rFonts w:hint="eastAsia"/>
          <w:i/>
        </w:rPr>
        <w:t xml:space="preserve">Rapport </w:t>
      </w:r>
      <w:proofErr w:type="spellStart"/>
      <w:r w:rsidRPr="00764ECC">
        <w:rPr>
          <w:rFonts w:hint="eastAsia"/>
          <w:i/>
        </w:rPr>
        <w:t>Annuel</w:t>
      </w:r>
      <w:proofErr w:type="spellEnd"/>
      <w:r>
        <w:rPr>
          <w:rFonts w:hint="eastAsia"/>
        </w:rPr>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764ECC" w:rsidRPr="00764ECC" w:rsidRDefault="00764ECC" w:rsidP="00764ECC">
      <w:pPr>
        <w:spacing w:line="240" w:lineRule="atLeast"/>
        <w:ind w:left="178" w:hangingChars="85" w:hanging="178"/>
        <w:jc w:val="left"/>
      </w:pPr>
      <w:r w:rsidRPr="00764ECC">
        <w:t>Haut Commissariat au Pla</w:t>
      </w:r>
      <w:r w:rsidRPr="00764ECC">
        <w:rPr>
          <w:rFonts w:hint="eastAsia"/>
        </w:rPr>
        <w:t xml:space="preserve">n, </w:t>
      </w:r>
      <w:proofErr w:type="spellStart"/>
      <w:r w:rsidRPr="00764ECC">
        <w:rPr>
          <w:i/>
        </w:rPr>
        <w:t>Annuaire</w:t>
      </w:r>
      <w:proofErr w:type="spellEnd"/>
      <w:r w:rsidRPr="00764ECC">
        <w:rPr>
          <w:i/>
        </w:rPr>
        <w:t xml:space="preserve"> </w:t>
      </w:r>
      <w:proofErr w:type="spellStart"/>
      <w:r w:rsidRPr="00764ECC">
        <w:rPr>
          <w:i/>
        </w:rPr>
        <w:t>statistique</w:t>
      </w:r>
      <w:proofErr w:type="spellEnd"/>
      <w:r w:rsidRPr="00764ECC">
        <w:rPr>
          <w:i/>
        </w:rPr>
        <w:t xml:space="preserve"> du </w:t>
      </w:r>
      <w:proofErr w:type="spellStart"/>
      <w:r w:rsidRPr="00764ECC">
        <w:rPr>
          <w:i/>
        </w:rPr>
        <w:t>Maroc</w:t>
      </w:r>
      <w:proofErr w:type="spellEnd"/>
      <w:r w:rsidRPr="00764ECC">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764ECC" w:rsidRDefault="00764ECC" w:rsidP="00764ECC">
      <w:pPr>
        <w:spacing w:line="240" w:lineRule="atLeast"/>
        <w:ind w:left="178" w:hangingChars="85" w:hanging="178"/>
        <w:jc w:val="left"/>
      </w:pPr>
      <w:r w:rsidRPr="00764ECC">
        <w:rPr>
          <w:rFonts w:hint="eastAsia"/>
        </w:rPr>
        <w:t xml:space="preserve">IMF, </w:t>
      </w:r>
      <w:r w:rsidRPr="00764ECC">
        <w:rPr>
          <w:rFonts w:hint="eastAsia"/>
          <w:i/>
        </w:rPr>
        <w:t>IMF Country Report</w:t>
      </w:r>
      <w:r w:rsidRPr="00764ECC">
        <w:rPr>
          <w:rFonts w:hint="eastAsia"/>
        </w:rPr>
        <w:t xml:space="preserve"> ,various years.</w:t>
      </w:r>
    </w:p>
    <w:p w:rsidR="00F41BE4" w:rsidRDefault="00F41BE4" w:rsidP="00764ECC">
      <w:pPr>
        <w:spacing w:line="240" w:lineRule="atLeast"/>
        <w:ind w:left="178" w:hangingChars="85" w:hanging="178"/>
        <w:jc w:val="left"/>
      </w:pPr>
      <w:r>
        <w:rPr>
          <w:rFonts w:hint="eastAsia"/>
        </w:rPr>
        <w:t xml:space="preserve">Société </w:t>
      </w:r>
      <w:proofErr w:type="spellStart"/>
      <w:r>
        <w:rPr>
          <w:rFonts w:hint="eastAsia"/>
        </w:rPr>
        <w:t>Générale</w:t>
      </w:r>
      <w:proofErr w:type="spellEnd"/>
      <w:r>
        <w:rPr>
          <w:rFonts w:hint="eastAsia"/>
        </w:rPr>
        <w:t xml:space="preserve"> </w:t>
      </w:r>
      <w:proofErr w:type="spellStart"/>
      <w:r>
        <w:rPr>
          <w:rFonts w:hint="eastAsia"/>
        </w:rPr>
        <w:t>Marocaine</w:t>
      </w:r>
      <w:proofErr w:type="spellEnd"/>
      <w:r>
        <w:rPr>
          <w:rFonts w:hint="eastAsia"/>
        </w:rPr>
        <w:t xml:space="preserve"> de </w:t>
      </w:r>
      <w:proofErr w:type="spellStart"/>
      <w:r>
        <w:rPr>
          <w:rFonts w:hint="eastAsia"/>
        </w:rPr>
        <w:t>Banques</w:t>
      </w:r>
      <w:proofErr w:type="spellEnd"/>
      <w:r>
        <w:rPr>
          <w:rFonts w:hint="eastAsia"/>
        </w:rPr>
        <w:t xml:space="preserve">, </w:t>
      </w:r>
      <w:r w:rsidRPr="00764ECC">
        <w:rPr>
          <w:rFonts w:hint="eastAsia"/>
          <w:i/>
        </w:rPr>
        <w:t xml:space="preserve">Rapport </w:t>
      </w:r>
      <w:proofErr w:type="spellStart"/>
      <w:r w:rsidRPr="00764ECC">
        <w:rPr>
          <w:rFonts w:hint="eastAsia"/>
          <w:i/>
        </w:rPr>
        <w:t>Annuel</w:t>
      </w:r>
      <w:proofErr w:type="spellEnd"/>
      <w:r>
        <w:rPr>
          <w:rFonts w:hint="eastAsia"/>
        </w:rPr>
        <w:t xml:space="preserve">, </w:t>
      </w:r>
      <w:proofErr w:type="spellStart"/>
      <w:r w:rsidRPr="00764ECC">
        <w:t>plusieurs</w:t>
      </w:r>
      <w:proofErr w:type="spellEnd"/>
      <w:r w:rsidRPr="00764ECC">
        <w:t xml:space="preserve"> </w:t>
      </w:r>
      <w:proofErr w:type="spellStart"/>
      <w:r w:rsidRPr="00764ECC">
        <w:t>années</w:t>
      </w:r>
      <w:proofErr w:type="spellEnd"/>
      <w:r w:rsidRPr="00764ECC">
        <w:t>.</w:t>
      </w:r>
    </w:p>
    <w:p w:rsidR="00764ECC" w:rsidRPr="00764ECC" w:rsidRDefault="00764ECC" w:rsidP="00764ECC">
      <w:pPr>
        <w:spacing w:line="240" w:lineRule="atLeast"/>
        <w:ind w:left="178" w:hangingChars="85" w:hanging="178"/>
        <w:jc w:val="left"/>
      </w:pPr>
      <w:r w:rsidRPr="00764ECC">
        <w:t xml:space="preserve">UNCTAD, </w:t>
      </w:r>
      <w:r w:rsidRPr="00764ECC">
        <w:rPr>
          <w:i/>
          <w:iCs/>
        </w:rPr>
        <w:t>World Investment Report</w:t>
      </w:r>
      <w:r w:rsidRPr="00764ECC">
        <w:t xml:space="preserve"> </w:t>
      </w:r>
      <w:r w:rsidRPr="00764ECC">
        <w:rPr>
          <w:rFonts w:hint="eastAsia"/>
        </w:rPr>
        <w:t>,</w:t>
      </w:r>
      <w:r w:rsidRPr="00764ECC">
        <w:t xml:space="preserve">various years. </w:t>
      </w:r>
    </w:p>
    <w:p w:rsidR="00764ECC" w:rsidRDefault="00764ECC" w:rsidP="00320076">
      <w:pPr>
        <w:spacing w:line="240" w:lineRule="atLeast"/>
        <w:ind w:left="178" w:hangingChars="85" w:hanging="178"/>
        <w:jc w:val="left"/>
      </w:pPr>
    </w:p>
    <w:p w:rsidR="002A63EA" w:rsidRDefault="002A63EA" w:rsidP="00320076">
      <w:pPr>
        <w:spacing w:line="240" w:lineRule="atLeast"/>
        <w:ind w:left="178" w:hangingChars="85" w:hanging="178"/>
        <w:jc w:val="left"/>
      </w:pPr>
      <w:r>
        <w:rPr>
          <w:rFonts w:hint="eastAsia"/>
        </w:rPr>
        <w:t>URL</w:t>
      </w:r>
    </w:p>
    <w:p w:rsidR="002A63EA" w:rsidRDefault="002A63EA" w:rsidP="002A63EA">
      <w:pPr>
        <w:spacing w:line="240" w:lineRule="atLeast"/>
        <w:ind w:left="178" w:hangingChars="85" w:hanging="178"/>
        <w:jc w:val="left"/>
      </w:pPr>
      <w:r>
        <w:rPr>
          <w:rFonts w:hint="eastAsia"/>
        </w:rPr>
        <w:t>欧州委員会：</w:t>
      </w:r>
      <w:r>
        <w:rPr>
          <w:rFonts w:hint="eastAsia"/>
        </w:rPr>
        <w:t xml:space="preserve">http://ec.europa.eu/index_en.htm </w:t>
      </w:r>
    </w:p>
    <w:p w:rsidR="002A63EA" w:rsidRDefault="002A63EA" w:rsidP="002A63EA">
      <w:pPr>
        <w:spacing w:line="240" w:lineRule="atLeast"/>
        <w:ind w:left="178" w:hangingChars="85" w:hanging="178"/>
        <w:jc w:val="left"/>
      </w:pPr>
      <w:r>
        <w:rPr>
          <w:rFonts w:hint="eastAsia"/>
        </w:rPr>
        <w:t>欧州委員会経済・金融総局：</w:t>
      </w:r>
      <w:r>
        <w:rPr>
          <w:rFonts w:hint="eastAsia"/>
        </w:rPr>
        <w:t>http://ec.europa.eu/economy_finance/international/index_en.htm</w:t>
      </w:r>
    </w:p>
    <w:p w:rsidR="002A63EA" w:rsidRDefault="002A63EA" w:rsidP="002A63EA">
      <w:pPr>
        <w:spacing w:line="240" w:lineRule="atLeast"/>
        <w:ind w:left="178" w:hangingChars="85" w:hanging="178"/>
        <w:jc w:val="left"/>
      </w:pPr>
      <w:r>
        <w:rPr>
          <w:rFonts w:hint="eastAsia"/>
        </w:rPr>
        <w:t>欧州委員会対外総局：</w:t>
      </w:r>
      <w:r>
        <w:rPr>
          <w:rFonts w:hint="eastAsia"/>
        </w:rPr>
        <w:t xml:space="preserve">http://ec.europa.eu/external_relations/euromed/index_en.htm </w:t>
      </w:r>
    </w:p>
    <w:p w:rsidR="002A63EA" w:rsidRDefault="002A63EA" w:rsidP="002A63EA">
      <w:pPr>
        <w:spacing w:line="240" w:lineRule="atLeast"/>
        <w:ind w:left="178" w:hangingChars="85" w:hanging="178"/>
        <w:jc w:val="left"/>
      </w:pPr>
      <w:r>
        <w:rPr>
          <w:rFonts w:hint="eastAsia"/>
        </w:rPr>
        <w:t>欧州委員会統計局</w:t>
      </w:r>
      <w:r>
        <w:rPr>
          <w:rFonts w:hint="eastAsia"/>
        </w:rPr>
        <w:t>(Eurostat)</w:t>
      </w:r>
      <w:r>
        <w:rPr>
          <w:rFonts w:hint="eastAsia"/>
        </w:rPr>
        <w:t>：</w:t>
      </w:r>
      <w:r>
        <w:rPr>
          <w:rFonts w:hint="eastAsia"/>
        </w:rPr>
        <w:t xml:space="preserve">http://epp.eurostat.ec.europa.eu/ </w:t>
      </w:r>
    </w:p>
    <w:p w:rsidR="002A63EA" w:rsidRDefault="002A63EA" w:rsidP="002A63EA">
      <w:pPr>
        <w:spacing w:line="240" w:lineRule="atLeast"/>
        <w:ind w:left="178" w:hangingChars="85" w:hanging="178"/>
        <w:jc w:val="left"/>
      </w:pPr>
      <w:r>
        <w:rPr>
          <w:rFonts w:hint="eastAsia"/>
        </w:rPr>
        <w:t>欧州援助協力局</w:t>
      </w:r>
      <w:r>
        <w:rPr>
          <w:rFonts w:hint="eastAsia"/>
        </w:rPr>
        <w:t xml:space="preserve"> (</w:t>
      </w:r>
      <w:proofErr w:type="spellStart"/>
      <w:r>
        <w:rPr>
          <w:rFonts w:hint="eastAsia"/>
        </w:rPr>
        <w:t>EuropeAid</w:t>
      </w:r>
      <w:proofErr w:type="spellEnd"/>
      <w:r>
        <w:rPr>
          <w:rFonts w:hint="eastAsia"/>
        </w:rPr>
        <w:t>)</w:t>
      </w:r>
      <w:r>
        <w:rPr>
          <w:rFonts w:hint="eastAsia"/>
        </w:rPr>
        <w:t>：</w:t>
      </w:r>
      <w:r>
        <w:rPr>
          <w:rFonts w:hint="eastAsia"/>
        </w:rPr>
        <w:t xml:space="preserve">http://ec.europa.eu/europeaid/index_en.htm </w:t>
      </w:r>
    </w:p>
    <w:p w:rsidR="002A63EA" w:rsidRDefault="002A63EA" w:rsidP="002A63EA">
      <w:pPr>
        <w:spacing w:line="240" w:lineRule="atLeast"/>
        <w:ind w:left="178" w:hangingChars="85" w:hanging="178"/>
        <w:jc w:val="left"/>
      </w:pPr>
      <w:r>
        <w:rPr>
          <w:rFonts w:hint="eastAsia"/>
        </w:rPr>
        <w:t>欧州投資銀行</w:t>
      </w:r>
      <w:r>
        <w:rPr>
          <w:rFonts w:hint="eastAsia"/>
        </w:rPr>
        <w:t>(EIB)</w:t>
      </w:r>
      <w:r>
        <w:rPr>
          <w:rFonts w:hint="eastAsia"/>
        </w:rPr>
        <w:t>：</w:t>
      </w:r>
      <w:r>
        <w:rPr>
          <w:rFonts w:hint="eastAsia"/>
        </w:rPr>
        <w:t xml:space="preserve">http://www.eib.org/projects/regions/med/ </w:t>
      </w:r>
    </w:p>
    <w:p w:rsidR="002A63EA" w:rsidRDefault="002A63EA" w:rsidP="002A63EA">
      <w:pPr>
        <w:spacing w:line="240" w:lineRule="atLeast"/>
        <w:ind w:left="178" w:hangingChars="85" w:hanging="178"/>
        <w:jc w:val="left"/>
      </w:pPr>
      <w:r>
        <w:rPr>
          <w:rFonts w:hint="eastAsia"/>
        </w:rPr>
        <w:t>国連開発プログラム</w:t>
      </w:r>
      <w:r>
        <w:rPr>
          <w:rFonts w:hint="eastAsia"/>
        </w:rPr>
        <w:t>(UNDP)</w:t>
      </w:r>
      <w:r>
        <w:rPr>
          <w:rFonts w:hint="eastAsia"/>
        </w:rPr>
        <w:t>：</w:t>
      </w:r>
      <w:r>
        <w:rPr>
          <w:rFonts w:hint="eastAsia"/>
        </w:rPr>
        <w:t xml:space="preserve">http://www.undp.org/ </w:t>
      </w:r>
    </w:p>
    <w:p w:rsidR="002A63EA" w:rsidRDefault="002A63EA" w:rsidP="002A63EA">
      <w:pPr>
        <w:spacing w:line="240" w:lineRule="atLeast"/>
        <w:ind w:left="178" w:hangingChars="85" w:hanging="178"/>
        <w:jc w:val="left"/>
      </w:pPr>
      <w:r>
        <w:rPr>
          <w:rFonts w:hint="eastAsia"/>
        </w:rPr>
        <w:t>在モロッコ日本大使館：</w:t>
      </w:r>
      <w:r>
        <w:rPr>
          <w:rFonts w:hint="eastAsia"/>
        </w:rPr>
        <w:t>http://www.ma.emb-japan.go.jp/index_j.htm</w:t>
      </w:r>
    </w:p>
    <w:p w:rsidR="002A63EA" w:rsidRDefault="002A63EA" w:rsidP="002A63EA">
      <w:pPr>
        <w:spacing w:line="240" w:lineRule="atLeast"/>
        <w:ind w:left="178" w:hangingChars="85" w:hanging="178"/>
        <w:jc w:val="left"/>
      </w:pPr>
      <w:r>
        <w:rPr>
          <w:rFonts w:hint="eastAsia"/>
        </w:rPr>
        <w:t xml:space="preserve">JETRO, </w:t>
      </w:r>
      <w:r>
        <w:rPr>
          <w:rFonts w:hint="eastAsia"/>
        </w:rPr>
        <w:t>ユーロトレンド：</w:t>
      </w:r>
      <w:r>
        <w:rPr>
          <w:rFonts w:hint="eastAsia"/>
        </w:rPr>
        <w:t>www.jetro.be/jp/business/eurotrend</w:t>
      </w:r>
    </w:p>
    <w:p w:rsidR="002A63EA" w:rsidRDefault="002A63EA" w:rsidP="002A63EA">
      <w:pPr>
        <w:spacing w:line="240" w:lineRule="atLeast"/>
        <w:ind w:left="178" w:hangingChars="85" w:hanging="178"/>
        <w:jc w:val="left"/>
      </w:pPr>
      <w:r>
        <w:rPr>
          <w:rFonts w:hint="eastAsia"/>
        </w:rPr>
        <w:t>世界銀行：</w:t>
      </w:r>
      <w:r>
        <w:rPr>
          <w:rFonts w:hint="eastAsia"/>
        </w:rPr>
        <w:t xml:space="preserve">World Development Indicators </w:t>
      </w:r>
    </w:p>
    <w:p w:rsidR="002A63EA" w:rsidRDefault="002A63EA" w:rsidP="002A63EA">
      <w:pPr>
        <w:spacing w:line="240" w:lineRule="atLeast"/>
        <w:ind w:left="178" w:hangingChars="85" w:hanging="178"/>
        <w:jc w:val="left"/>
      </w:pPr>
      <w:r>
        <w:rPr>
          <w:rFonts w:hint="eastAsia"/>
        </w:rPr>
        <w:lastRenderedPageBreak/>
        <w:t>地中海諸国：各国中央銀行</w:t>
      </w:r>
      <w:r>
        <w:rPr>
          <w:rFonts w:hint="eastAsia"/>
        </w:rPr>
        <w:t>HP</w:t>
      </w:r>
    </w:p>
    <w:p w:rsidR="002A63EA" w:rsidRDefault="002A63EA" w:rsidP="002A63EA">
      <w:pPr>
        <w:spacing w:line="240" w:lineRule="atLeast"/>
        <w:ind w:left="178" w:hangingChars="85" w:hanging="178"/>
        <w:jc w:val="left"/>
      </w:pPr>
      <w:r>
        <w:rPr>
          <w:rFonts w:hint="eastAsia"/>
        </w:rPr>
        <w:t>マグレブ銀行連盟</w:t>
      </w:r>
      <w:r>
        <w:rPr>
          <w:rFonts w:hint="eastAsia"/>
        </w:rPr>
        <w:t>(</w:t>
      </w:r>
      <w:r w:rsidRPr="002A63EA">
        <w:t xml:space="preserve">Union des </w:t>
      </w:r>
      <w:proofErr w:type="spellStart"/>
      <w:r w:rsidRPr="002A63EA">
        <w:t>Banques</w:t>
      </w:r>
      <w:proofErr w:type="spellEnd"/>
      <w:r w:rsidRPr="002A63EA">
        <w:t xml:space="preserve"> </w:t>
      </w:r>
      <w:proofErr w:type="spellStart"/>
      <w:r w:rsidRPr="002A63EA">
        <w:t>Maghrébines</w:t>
      </w:r>
      <w:proofErr w:type="spellEnd"/>
      <w:r>
        <w:rPr>
          <w:rFonts w:hint="eastAsia"/>
        </w:rPr>
        <w:t>)</w:t>
      </w:r>
      <w:r>
        <w:rPr>
          <w:rFonts w:hint="eastAsia"/>
        </w:rPr>
        <w:t>：</w:t>
      </w:r>
      <w:r w:rsidRPr="002A63EA">
        <w:t>http://www.ubm.org.tn/</w:t>
      </w:r>
    </w:p>
    <w:p w:rsidR="002A63EA" w:rsidRDefault="002A63EA" w:rsidP="002A63EA">
      <w:pPr>
        <w:spacing w:line="240" w:lineRule="atLeast"/>
        <w:ind w:left="178" w:hangingChars="85" w:hanging="178"/>
        <w:jc w:val="left"/>
      </w:pPr>
      <w:r>
        <w:rPr>
          <w:rFonts w:hint="eastAsia"/>
        </w:rPr>
        <w:t>モロッコ王国中央銀行</w:t>
      </w:r>
      <w:r>
        <w:rPr>
          <w:rFonts w:hint="eastAsia"/>
        </w:rPr>
        <w:t>(Bank Al-Maghreb)</w:t>
      </w:r>
      <w:r>
        <w:rPr>
          <w:rFonts w:hint="eastAsia"/>
        </w:rPr>
        <w:t>：</w:t>
      </w:r>
      <w:r>
        <w:rPr>
          <w:rFonts w:hint="eastAsia"/>
        </w:rPr>
        <w:t xml:space="preserve"> </w:t>
      </w:r>
      <w:r w:rsidRPr="002A63EA">
        <w:t>http://www.bkam.ma/</w:t>
      </w:r>
    </w:p>
    <w:p w:rsidR="002A63EA" w:rsidRDefault="002A63EA" w:rsidP="002A63EA">
      <w:pPr>
        <w:spacing w:line="240" w:lineRule="atLeast"/>
        <w:ind w:left="178" w:hangingChars="85" w:hanging="178"/>
        <w:jc w:val="left"/>
      </w:pPr>
      <w:r>
        <w:rPr>
          <w:rFonts w:hint="eastAsia"/>
        </w:rPr>
        <w:t>モロッコ王国経済・財務省為替局</w:t>
      </w:r>
      <w:r>
        <w:rPr>
          <w:rFonts w:hint="eastAsia"/>
        </w:rPr>
        <w:t>(Office des Changes)</w:t>
      </w:r>
      <w:r>
        <w:rPr>
          <w:rFonts w:hint="eastAsia"/>
        </w:rPr>
        <w:t>：</w:t>
      </w:r>
      <w:r>
        <w:rPr>
          <w:rFonts w:hint="eastAsia"/>
        </w:rPr>
        <w:t xml:space="preserve">http://www.oc.gov.ma </w:t>
      </w:r>
    </w:p>
    <w:p w:rsidR="002A63EA" w:rsidRDefault="002A63EA" w:rsidP="002A63EA">
      <w:pPr>
        <w:spacing w:line="240" w:lineRule="atLeast"/>
        <w:ind w:left="178" w:hangingChars="85" w:hanging="178"/>
        <w:jc w:val="left"/>
      </w:pPr>
      <w:r>
        <w:rPr>
          <w:rFonts w:hint="eastAsia"/>
        </w:rPr>
        <w:t>モロッコ王国高等計画委員会統計局</w:t>
      </w:r>
      <w:r>
        <w:rPr>
          <w:rFonts w:hint="eastAsia"/>
        </w:rPr>
        <w:t>(Haut-Commissariat au Plan)</w:t>
      </w:r>
      <w:r>
        <w:rPr>
          <w:rFonts w:hint="eastAsia"/>
        </w:rPr>
        <w:t>：</w:t>
      </w:r>
      <w:r>
        <w:rPr>
          <w:rFonts w:hint="eastAsia"/>
        </w:rPr>
        <w:t>http://www.hcp.ma/</w:t>
      </w:r>
    </w:p>
    <w:p w:rsidR="002A63EA" w:rsidRDefault="002A63EA" w:rsidP="002A63EA">
      <w:pPr>
        <w:spacing w:line="240" w:lineRule="atLeast"/>
        <w:ind w:left="178" w:hangingChars="85" w:hanging="178"/>
        <w:jc w:val="left"/>
      </w:pPr>
      <w:r>
        <w:rPr>
          <w:rFonts w:hint="eastAsia"/>
        </w:rPr>
        <w:t>モロッコ王国タンジェ経済特区</w:t>
      </w:r>
      <w:r>
        <w:rPr>
          <w:rFonts w:hint="eastAsia"/>
        </w:rPr>
        <w:t>(</w:t>
      </w:r>
      <w:proofErr w:type="spellStart"/>
      <w:r>
        <w:rPr>
          <w:rFonts w:hint="eastAsia"/>
        </w:rPr>
        <w:t>Tanger</w:t>
      </w:r>
      <w:proofErr w:type="spellEnd"/>
      <w:r>
        <w:rPr>
          <w:rFonts w:hint="eastAsia"/>
        </w:rPr>
        <w:t xml:space="preserve"> TFZ)</w:t>
      </w:r>
      <w:r>
        <w:rPr>
          <w:rFonts w:hint="eastAsia"/>
        </w:rPr>
        <w:t>：</w:t>
      </w:r>
      <w:r>
        <w:rPr>
          <w:rFonts w:hint="eastAsia"/>
        </w:rPr>
        <w:t>http://www.tangerfreezone.com</w:t>
      </w:r>
    </w:p>
    <w:p w:rsidR="002A63EA" w:rsidRDefault="002A63EA" w:rsidP="002A63EA">
      <w:pPr>
        <w:spacing w:line="240" w:lineRule="atLeast"/>
        <w:ind w:left="178" w:hangingChars="85" w:hanging="178"/>
        <w:jc w:val="left"/>
      </w:pPr>
      <w:r>
        <w:rPr>
          <w:rFonts w:hint="eastAsia"/>
        </w:rPr>
        <w:t>ANIMA</w:t>
      </w:r>
      <w:r>
        <w:rPr>
          <w:rFonts w:hint="eastAsia"/>
        </w:rPr>
        <w:t>：</w:t>
      </w:r>
      <w:r>
        <w:rPr>
          <w:rFonts w:hint="eastAsia"/>
        </w:rPr>
        <w:t xml:space="preserve">http://www.animaweb.org/en/index.php </w:t>
      </w:r>
    </w:p>
    <w:p w:rsidR="002A63EA" w:rsidRDefault="002A63EA" w:rsidP="002A63EA">
      <w:pPr>
        <w:spacing w:line="240" w:lineRule="atLeast"/>
        <w:ind w:left="178" w:hangingChars="85" w:hanging="178"/>
        <w:jc w:val="left"/>
      </w:pPr>
      <w:r>
        <w:rPr>
          <w:rFonts w:hint="eastAsia"/>
        </w:rPr>
        <w:t>TMSA (</w:t>
      </w:r>
      <w:proofErr w:type="spellStart"/>
      <w:r>
        <w:rPr>
          <w:rFonts w:hint="eastAsia"/>
        </w:rPr>
        <w:t>Tanger</w:t>
      </w:r>
      <w:proofErr w:type="spellEnd"/>
      <w:r>
        <w:rPr>
          <w:rFonts w:hint="eastAsia"/>
        </w:rPr>
        <w:t xml:space="preserve"> Mediterranean special Agency, Kingdom of Morocco)</w:t>
      </w:r>
      <w:r>
        <w:rPr>
          <w:rFonts w:hint="eastAsia"/>
        </w:rPr>
        <w:t>：</w:t>
      </w:r>
      <w:r>
        <w:rPr>
          <w:rFonts w:hint="eastAsia"/>
        </w:rPr>
        <w:t xml:space="preserve">http://www.tmsa.ma </w:t>
      </w:r>
    </w:p>
    <w:p w:rsidR="002A63EA" w:rsidRPr="00764ECC" w:rsidRDefault="002A63EA" w:rsidP="002A63EA">
      <w:pPr>
        <w:spacing w:line="240" w:lineRule="atLeast"/>
        <w:ind w:left="178" w:hangingChars="85" w:hanging="178"/>
        <w:jc w:val="left"/>
      </w:pPr>
      <w:r>
        <w:rPr>
          <w:rFonts w:hint="eastAsia"/>
        </w:rPr>
        <w:t>UNCTAD FDI Statistics</w:t>
      </w:r>
      <w:r>
        <w:rPr>
          <w:rFonts w:hint="eastAsia"/>
        </w:rPr>
        <w:t>：</w:t>
      </w:r>
      <w:r>
        <w:rPr>
          <w:rFonts w:hint="eastAsia"/>
        </w:rPr>
        <w:t>http://stats.unctad.org</w:t>
      </w:r>
    </w:p>
    <w:sectPr w:rsidR="002A63EA" w:rsidRPr="00764ECC" w:rsidSect="009D780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E3" w:rsidRDefault="002A68E3" w:rsidP="008475D7">
      <w:r>
        <w:separator/>
      </w:r>
    </w:p>
  </w:endnote>
  <w:endnote w:type="continuationSeparator" w:id="0">
    <w:p w:rsidR="002A68E3" w:rsidRDefault="002A68E3" w:rsidP="0084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80178"/>
      <w:docPartObj>
        <w:docPartGallery w:val="Page Numbers (Bottom of Page)"/>
        <w:docPartUnique/>
      </w:docPartObj>
    </w:sdtPr>
    <w:sdtEndPr/>
    <w:sdtContent>
      <w:p w:rsidR="002A68E3" w:rsidRDefault="002A68E3">
        <w:pPr>
          <w:pStyle w:val="a7"/>
          <w:jc w:val="center"/>
        </w:pPr>
        <w:r>
          <w:fldChar w:fldCharType="begin"/>
        </w:r>
        <w:r>
          <w:instrText>PAGE   \* MERGEFORMAT</w:instrText>
        </w:r>
        <w:r>
          <w:fldChar w:fldCharType="separate"/>
        </w:r>
        <w:r w:rsidR="0050673E" w:rsidRPr="0050673E">
          <w:rPr>
            <w:noProof/>
            <w:lang w:val="ja-JP"/>
          </w:rPr>
          <w:t>1</w:t>
        </w:r>
        <w:r>
          <w:fldChar w:fldCharType="end"/>
        </w:r>
      </w:p>
    </w:sdtContent>
  </w:sdt>
  <w:p w:rsidR="002A68E3" w:rsidRDefault="002A68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E3" w:rsidRDefault="002A68E3" w:rsidP="008475D7">
      <w:r>
        <w:separator/>
      </w:r>
    </w:p>
  </w:footnote>
  <w:footnote w:type="continuationSeparator" w:id="0">
    <w:p w:rsidR="002A68E3" w:rsidRDefault="002A68E3" w:rsidP="008475D7">
      <w:r>
        <w:continuationSeparator/>
      </w:r>
    </w:p>
  </w:footnote>
  <w:footnote w:id="1">
    <w:p w:rsidR="002A68E3" w:rsidRPr="001E23CE" w:rsidRDefault="002A68E3">
      <w:pPr>
        <w:pStyle w:val="aa"/>
        <w:rPr>
          <w:sz w:val="14"/>
        </w:rPr>
      </w:pPr>
      <w:r>
        <w:rPr>
          <w:rStyle w:val="ac"/>
        </w:rPr>
        <w:footnoteRef/>
      </w:r>
      <w:r w:rsidRPr="001E23CE">
        <w:rPr>
          <w:sz w:val="18"/>
        </w:rPr>
        <w:t xml:space="preserve"> </w:t>
      </w:r>
      <w:r w:rsidRPr="001E23CE">
        <w:rPr>
          <w:rFonts w:hint="eastAsia"/>
          <w:sz w:val="18"/>
        </w:rPr>
        <w:t>EU</w:t>
      </w:r>
      <w:r w:rsidRPr="001E23CE">
        <w:rPr>
          <w:rFonts w:hint="eastAsia"/>
          <w:sz w:val="18"/>
        </w:rPr>
        <w:t>にとって、地中海諸国</w:t>
      </w:r>
      <w:r w:rsidRPr="001E23CE">
        <w:rPr>
          <w:rFonts w:hint="eastAsia"/>
          <w:sz w:val="18"/>
        </w:rPr>
        <w:t>(Mediterranean Partner Countries)</w:t>
      </w:r>
      <w:r w:rsidRPr="001E23CE">
        <w:rPr>
          <w:rFonts w:hint="eastAsia"/>
          <w:sz w:val="18"/>
        </w:rPr>
        <w:t>とは地中海の南・東沿岸に位置する</w:t>
      </w:r>
      <w:r w:rsidRPr="001E23CE">
        <w:rPr>
          <w:rFonts w:hint="eastAsia"/>
          <w:sz w:val="18"/>
        </w:rPr>
        <w:t>EU</w:t>
      </w:r>
      <w:r w:rsidRPr="001E23CE">
        <w:rPr>
          <w:rFonts w:hint="eastAsia"/>
          <w:sz w:val="18"/>
        </w:rPr>
        <w:t>非加盟国を維持し、マグレブ諸国</w:t>
      </w:r>
      <w:r w:rsidRPr="001E23CE">
        <w:rPr>
          <w:rFonts w:hint="eastAsia"/>
          <w:sz w:val="18"/>
        </w:rPr>
        <w:t>(</w:t>
      </w:r>
      <w:r w:rsidRPr="001E23CE">
        <w:rPr>
          <w:rFonts w:hint="eastAsia"/>
          <w:sz w:val="18"/>
        </w:rPr>
        <w:t>モロッコ・チュニジア・アルジェリア</w:t>
      </w:r>
      <w:r w:rsidRPr="001E23CE">
        <w:rPr>
          <w:rFonts w:hint="eastAsia"/>
          <w:sz w:val="18"/>
        </w:rPr>
        <w:t>)</w:t>
      </w:r>
      <w:r w:rsidRPr="001E23CE">
        <w:rPr>
          <w:rFonts w:hint="eastAsia"/>
          <w:sz w:val="18"/>
        </w:rPr>
        <w:t>・マシュレク諸国</w:t>
      </w:r>
      <w:r w:rsidRPr="001E23CE">
        <w:rPr>
          <w:rFonts w:hint="eastAsia"/>
          <w:sz w:val="18"/>
        </w:rPr>
        <w:t>(</w:t>
      </w:r>
      <w:r w:rsidRPr="001E23CE">
        <w:rPr>
          <w:rFonts w:hint="eastAsia"/>
          <w:sz w:val="18"/>
        </w:rPr>
        <w:t>エジプト・ヨルダン・シリア</w:t>
      </w:r>
      <w:r w:rsidRPr="001E23CE">
        <w:rPr>
          <w:rFonts w:hint="eastAsia"/>
          <w:sz w:val="18"/>
        </w:rPr>
        <w:t>)</w:t>
      </w:r>
      <w:r w:rsidRPr="001E23CE">
        <w:rPr>
          <w:rFonts w:hint="eastAsia"/>
          <w:sz w:val="18"/>
        </w:rPr>
        <w:t>、レバノン・パレスチナ自治区・トルコをカバーしている。</w:t>
      </w:r>
      <w:r w:rsidRPr="001E23CE">
        <w:rPr>
          <w:rFonts w:hint="eastAsia"/>
          <w:sz w:val="18"/>
        </w:rPr>
        <w:t>2008</w:t>
      </w:r>
      <w:r w:rsidRPr="001E23CE">
        <w:rPr>
          <w:rFonts w:hint="eastAsia"/>
          <w:sz w:val="18"/>
        </w:rPr>
        <w:t>年からリビアはオブザーバー参加しているものの、未だ正式なパートナーではない。しかし、</w:t>
      </w:r>
      <w:r w:rsidRPr="001E23CE">
        <w:rPr>
          <w:rFonts w:hint="eastAsia"/>
          <w:sz w:val="18"/>
        </w:rPr>
        <w:t>EU</w:t>
      </w:r>
      <w:r w:rsidRPr="001E23CE">
        <w:rPr>
          <w:rFonts w:hint="eastAsia"/>
          <w:sz w:val="18"/>
        </w:rPr>
        <w:t>にとって、当該エリアからのエネルギー供給面（天然ガス・石油）で欠くことのできない存在である。</w:t>
      </w:r>
      <w:r w:rsidRPr="001E23CE">
        <w:rPr>
          <w:rFonts w:hint="eastAsia"/>
          <w:sz w:val="18"/>
        </w:rPr>
        <w:t>2010</w:t>
      </w:r>
      <w:r w:rsidRPr="001E23CE">
        <w:rPr>
          <w:rFonts w:hint="eastAsia"/>
          <w:sz w:val="18"/>
        </w:rPr>
        <w:t>年</w:t>
      </w:r>
      <w:r w:rsidRPr="001E23CE">
        <w:rPr>
          <w:rFonts w:hint="eastAsia"/>
          <w:sz w:val="18"/>
        </w:rPr>
        <w:t>12</w:t>
      </w:r>
      <w:r w:rsidRPr="001E23CE">
        <w:rPr>
          <w:rFonts w:hint="eastAsia"/>
          <w:sz w:val="18"/>
        </w:rPr>
        <w:t>月末からのチュニジアの政変を発端に、南地中海諸国は民主化に向けた変革の渦中にあり、今後の対リビア外交が注目される。</w:t>
      </w:r>
    </w:p>
  </w:footnote>
  <w:footnote w:id="2">
    <w:p w:rsidR="002A68E3" w:rsidRPr="001E23CE" w:rsidRDefault="002A68E3">
      <w:pPr>
        <w:pStyle w:val="aa"/>
        <w:rPr>
          <w:sz w:val="18"/>
        </w:rPr>
      </w:pPr>
      <w:r>
        <w:rPr>
          <w:rStyle w:val="ac"/>
        </w:rPr>
        <w:footnoteRef/>
      </w:r>
      <w:r>
        <w:t xml:space="preserve"> </w:t>
      </w:r>
      <w:r w:rsidRPr="001E23CE">
        <w:rPr>
          <w:rFonts w:hint="eastAsia"/>
          <w:sz w:val="18"/>
        </w:rPr>
        <w:t>地中海政策の展開の詳細については、高﨑</w:t>
      </w:r>
      <w:r w:rsidRPr="001E23CE">
        <w:rPr>
          <w:rFonts w:hint="eastAsia"/>
          <w:sz w:val="18"/>
        </w:rPr>
        <w:t>(2009)</w:t>
      </w:r>
      <w:r w:rsidRPr="001E23CE">
        <w:rPr>
          <w:rFonts w:hint="eastAsia"/>
          <w:sz w:val="18"/>
        </w:rPr>
        <w:t>および</w:t>
      </w:r>
      <w:r w:rsidRPr="001E23CE">
        <w:rPr>
          <w:rFonts w:hint="eastAsia"/>
          <w:sz w:val="18"/>
        </w:rPr>
        <w:t>(2010)</w:t>
      </w:r>
      <w:r w:rsidRPr="001E23CE">
        <w:rPr>
          <w:rFonts w:hint="eastAsia"/>
          <w:sz w:val="18"/>
        </w:rPr>
        <w:t>を参照されたい。</w:t>
      </w:r>
    </w:p>
  </w:footnote>
  <w:footnote w:id="3">
    <w:p w:rsidR="002A68E3" w:rsidRPr="001E23CE" w:rsidRDefault="002A68E3">
      <w:pPr>
        <w:pStyle w:val="aa"/>
        <w:rPr>
          <w:sz w:val="18"/>
        </w:rPr>
      </w:pPr>
      <w:r w:rsidRPr="001E23CE">
        <w:rPr>
          <w:rStyle w:val="ac"/>
          <w:sz w:val="18"/>
        </w:rPr>
        <w:footnoteRef/>
      </w:r>
      <w:r w:rsidRPr="001E23CE">
        <w:rPr>
          <w:sz w:val="18"/>
        </w:rPr>
        <w:t xml:space="preserve"> </w:t>
      </w:r>
      <w:r w:rsidRPr="001E23CE">
        <w:rPr>
          <w:rFonts w:hint="eastAsia"/>
          <w:sz w:val="18"/>
        </w:rPr>
        <w:t>European Commission (1992), p4</w:t>
      </w:r>
      <w:r w:rsidRPr="001E23CE">
        <w:rPr>
          <w:rFonts w:hint="eastAsia"/>
          <w:sz w:val="18"/>
        </w:rPr>
        <w:t>より。</w:t>
      </w:r>
    </w:p>
  </w:footnote>
  <w:footnote w:id="4">
    <w:p w:rsidR="002A68E3" w:rsidRPr="00094D01" w:rsidRDefault="002A68E3" w:rsidP="00B6057E">
      <w:pPr>
        <w:pStyle w:val="aa"/>
        <w:spacing w:line="240" w:lineRule="exact"/>
        <w:rPr>
          <w:sz w:val="18"/>
          <w:szCs w:val="18"/>
        </w:rPr>
      </w:pPr>
      <w:r w:rsidRPr="00094D01">
        <w:rPr>
          <w:rStyle w:val="ac"/>
          <w:sz w:val="18"/>
          <w:szCs w:val="18"/>
        </w:rPr>
        <w:footnoteRef/>
      </w:r>
      <w:r w:rsidRPr="00094D01">
        <w:rPr>
          <w:sz w:val="18"/>
          <w:szCs w:val="18"/>
        </w:rPr>
        <w:t xml:space="preserve"> </w:t>
      </w:r>
      <w:r w:rsidRPr="00094D01">
        <w:rPr>
          <w:rFonts w:hint="eastAsia"/>
          <w:sz w:val="18"/>
          <w:szCs w:val="18"/>
        </w:rPr>
        <w:t>European Commission (1992),pp.7-8</w:t>
      </w:r>
      <w:r w:rsidRPr="00094D01">
        <w:rPr>
          <w:rFonts w:hint="eastAsia"/>
          <w:sz w:val="18"/>
          <w:szCs w:val="18"/>
        </w:rPr>
        <w:t>より。</w:t>
      </w:r>
    </w:p>
  </w:footnote>
  <w:footnote w:id="5">
    <w:p w:rsidR="002A68E3" w:rsidRDefault="002A68E3">
      <w:pPr>
        <w:pStyle w:val="aa"/>
      </w:pPr>
      <w:r>
        <w:rPr>
          <w:rStyle w:val="ac"/>
        </w:rPr>
        <w:footnoteRef/>
      </w:r>
      <w:r>
        <w:t xml:space="preserve"> </w:t>
      </w:r>
      <w:r w:rsidRPr="001E23CE">
        <w:rPr>
          <w:rFonts w:hint="eastAsia"/>
          <w:sz w:val="18"/>
        </w:rPr>
        <w:t>同条約には、</w:t>
      </w:r>
      <w:r w:rsidRPr="001E23CE">
        <w:rPr>
          <w:rFonts w:hint="eastAsia"/>
          <w:sz w:val="18"/>
        </w:rPr>
        <w:t>EFTA</w:t>
      </w:r>
      <w:r w:rsidRPr="001E23CE">
        <w:rPr>
          <w:rFonts w:hint="eastAsia"/>
          <w:sz w:val="18"/>
        </w:rPr>
        <w:t>諸国や</w:t>
      </w:r>
      <w:r w:rsidRPr="001E23CE">
        <w:rPr>
          <w:rFonts w:hint="eastAsia"/>
          <w:sz w:val="18"/>
        </w:rPr>
        <w:t>EU</w:t>
      </w:r>
      <w:r w:rsidRPr="001E23CE">
        <w:rPr>
          <w:rFonts w:hint="eastAsia"/>
          <w:sz w:val="18"/>
        </w:rPr>
        <w:t>加盟を目指す西バルカン諸国も参加する予定である。</w:t>
      </w:r>
    </w:p>
  </w:footnote>
  <w:footnote w:id="6">
    <w:p w:rsidR="002A68E3" w:rsidRPr="005026BA" w:rsidRDefault="002A68E3" w:rsidP="00472D3F">
      <w:pPr>
        <w:pStyle w:val="aa"/>
        <w:rPr>
          <w:sz w:val="18"/>
          <w:szCs w:val="18"/>
        </w:rPr>
      </w:pPr>
      <w:r w:rsidRPr="005026BA">
        <w:rPr>
          <w:rStyle w:val="ac"/>
          <w:sz w:val="18"/>
          <w:szCs w:val="18"/>
        </w:rPr>
        <w:footnoteRef/>
      </w:r>
      <w:r w:rsidRPr="005026BA">
        <w:rPr>
          <w:sz w:val="18"/>
          <w:szCs w:val="18"/>
        </w:rPr>
        <w:t xml:space="preserve"> </w:t>
      </w:r>
      <w:r w:rsidRPr="005026BA">
        <w:rPr>
          <w:rFonts w:hint="eastAsia"/>
          <w:sz w:val="18"/>
          <w:szCs w:val="18"/>
        </w:rPr>
        <w:t>モロッコの自動車産業における</w:t>
      </w:r>
      <w:r w:rsidRPr="005026BA">
        <w:rPr>
          <w:rFonts w:hint="eastAsia"/>
          <w:sz w:val="18"/>
          <w:szCs w:val="18"/>
        </w:rPr>
        <w:t>EU</w:t>
      </w:r>
      <w:r w:rsidRPr="005026BA">
        <w:rPr>
          <w:rFonts w:hint="eastAsia"/>
          <w:sz w:val="18"/>
          <w:szCs w:val="18"/>
        </w:rPr>
        <w:t>系企業の現地展開や「生産ネットワーク」形成も分析については、高﨑</w:t>
      </w:r>
      <w:r w:rsidRPr="005026BA">
        <w:rPr>
          <w:rFonts w:hint="eastAsia"/>
          <w:sz w:val="18"/>
          <w:szCs w:val="18"/>
        </w:rPr>
        <w:t>(2011)</w:t>
      </w:r>
      <w:r w:rsidRPr="005026BA">
        <w:rPr>
          <w:rFonts w:hint="eastAsia"/>
          <w:sz w:val="18"/>
          <w:szCs w:val="18"/>
        </w:rPr>
        <w:t>を参照されたい。</w:t>
      </w:r>
    </w:p>
  </w:footnote>
  <w:footnote w:id="7">
    <w:p w:rsidR="002A68E3" w:rsidRPr="005026BA" w:rsidRDefault="002A68E3">
      <w:pPr>
        <w:pStyle w:val="aa"/>
        <w:rPr>
          <w:sz w:val="18"/>
          <w:szCs w:val="18"/>
        </w:rPr>
      </w:pPr>
      <w:r w:rsidRPr="005026BA">
        <w:rPr>
          <w:rStyle w:val="ac"/>
          <w:sz w:val="18"/>
          <w:szCs w:val="18"/>
        </w:rPr>
        <w:footnoteRef/>
      </w:r>
      <w:r w:rsidRPr="005026BA">
        <w:rPr>
          <w:sz w:val="18"/>
          <w:szCs w:val="18"/>
        </w:rPr>
        <w:t xml:space="preserve"> </w:t>
      </w:r>
      <w:r w:rsidRPr="005026BA">
        <w:rPr>
          <w:rFonts w:hint="eastAsia"/>
          <w:sz w:val="18"/>
          <w:szCs w:val="18"/>
        </w:rPr>
        <w:t>2010</w:t>
      </w:r>
      <w:r w:rsidRPr="005026BA">
        <w:rPr>
          <w:rFonts w:hint="eastAsia"/>
          <w:sz w:val="18"/>
          <w:szCs w:val="18"/>
        </w:rPr>
        <w:t>年にはヨルダンが優先的地位を付与されている。</w:t>
      </w:r>
    </w:p>
  </w:footnote>
  <w:footnote w:id="8">
    <w:p w:rsidR="002A68E3" w:rsidRPr="005026BA" w:rsidRDefault="002A68E3">
      <w:pPr>
        <w:pStyle w:val="aa"/>
        <w:rPr>
          <w:sz w:val="18"/>
          <w:szCs w:val="18"/>
        </w:rPr>
      </w:pPr>
      <w:r w:rsidRPr="005026BA">
        <w:rPr>
          <w:rStyle w:val="ac"/>
          <w:sz w:val="18"/>
          <w:szCs w:val="18"/>
        </w:rPr>
        <w:footnoteRef/>
      </w:r>
      <w:r w:rsidRPr="005026BA">
        <w:rPr>
          <w:sz w:val="18"/>
          <w:szCs w:val="18"/>
        </w:rPr>
        <w:t xml:space="preserve"> </w:t>
      </w:r>
      <w:r w:rsidRPr="005026BA">
        <w:rPr>
          <w:rFonts w:hint="eastAsia"/>
          <w:sz w:val="18"/>
          <w:szCs w:val="18"/>
        </w:rPr>
        <w:t>European Commission, COM(2011a),(2011b)</w:t>
      </w:r>
      <w:r w:rsidRPr="005026BA">
        <w:rPr>
          <w:rFonts w:hint="eastAsia"/>
          <w:sz w:val="18"/>
          <w:szCs w:val="18"/>
        </w:rPr>
        <w:t>より。</w:t>
      </w:r>
    </w:p>
  </w:footnote>
  <w:footnote w:id="9">
    <w:p w:rsidR="002A68E3" w:rsidRPr="001E1AA6" w:rsidRDefault="002A68E3">
      <w:pPr>
        <w:pStyle w:val="aa"/>
        <w:rPr>
          <w:sz w:val="18"/>
          <w:szCs w:val="18"/>
        </w:rPr>
      </w:pPr>
      <w:r w:rsidRPr="001E1AA6">
        <w:rPr>
          <w:rStyle w:val="ac"/>
          <w:sz w:val="18"/>
          <w:szCs w:val="18"/>
        </w:rPr>
        <w:footnoteRef/>
      </w:r>
      <w:r>
        <w:rPr>
          <w:rFonts w:hint="eastAsia"/>
          <w:sz w:val="18"/>
          <w:szCs w:val="18"/>
        </w:rPr>
        <w:t xml:space="preserve"> Bank Al-</w:t>
      </w:r>
      <w:proofErr w:type="spellStart"/>
      <w:r>
        <w:rPr>
          <w:rFonts w:hint="eastAsia"/>
          <w:sz w:val="18"/>
          <w:szCs w:val="18"/>
        </w:rPr>
        <w:t>Maghrib</w:t>
      </w:r>
      <w:proofErr w:type="spellEnd"/>
      <w:r>
        <w:rPr>
          <w:rFonts w:hint="eastAsia"/>
          <w:sz w:val="18"/>
          <w:szCs w:val="18"/>
        </w:rPr>
        <w:t xml:space="preserve">, Rapport </w:t>
      </w:r>
      <w:proofErr w:type="spellStart"/>
      <w:r>
        <w:rPr>
          <w:rFonts w:hint="eastAsia"/>
          <w:sz w:val="18"/>
          <w:szCs w:val="18"/>
        </w:rPr>
        <w:t>annuel</w:t>
      </w:r>
      <w:proofErr w:type="spellEnd"/>
      <w:r>
        <w:rPr>
          <w:rFonts w:hint="eastAsia"/>
          <w:sz w:val="18"/>
          <w:szCs w:val="18"/>
        </w:rPr>
        <w:t xml:space="preserve"> 2008</w:t>
      </w:r>
      <w:r w:rsidRPr="001E1AA6">
        <w:rPr>
          <w:rFonts w:hint="eastAsia"/>
          <w:sz w:val="18"/>
          <w:szCs w:val="18"/>
        </w:rPr>
        <w:t>より。</w:t>
      </w:r>
    </w:p>
  </w:footnote>
  <w:footnote w:id="10">
    <w:p w:rsidR="002A68E3" w:rsidRPr="00CD5D37" w:rsidRDefault="002A68E3" w:rsidP="00840706">
      <w:pPr>
        <w:pStyle w:val="aa"/>
      </w:pPr>
      <w:r>
        <w:rPr>
          <w:rStyle w:val="ac"/>
        </w:rPr>
        <w:footnoteRef/>
      </w:r>
      <w:r>
        <w:t xml:space="preserve"> </w:t>
      </w:r>
      <w:r>
        <w:rPr>
          <w:rFonts w:hint="eastAsia"/>
          <w:sz w:val="18"/>
          <w:szCs w:val="18"/>
        </w:rPr>
        <w:t>Bank Al-</w:t>
      </w:r>
      <w:proofErr w:type="spellStart"/>
      <w:r>
        <w:rPr>
          <w:rFonts w:hint="eastAsia"/>
          <w:sz w:val="18"/>
          <w:szCs w:val="18"/>
        </w:rPr>
        <w:t>Maghrib</w:t>
      </w:r>
      <w:proofErr w:type="spellEnd"/>
      <w:r>
        <w:rPr>
          <w:rFonts w:hint="eastAsia"/>
          <w:sz w:val="18"/>
          <w:szCs w:val="18"/>
        </w:rPr>
        <w:t xml:space="preserve">, Rapport </w:t>
      </w:r>
      <w:proofErr w:type="spellStart"/>
      <w:r>
        <w:rPr>
          <w:rFonts w:hint="eastAsia"/>
          <w:sz w:val="18"/>
          <w:szCs w:val="18"/>
        </w:rPr>
        <w:t>annuel</w:t>
      </w:r>
      <w:proofErr w:type="spellEnd"/>
      <w:r>
        <w:rPr>
          <w:rFonts w:hint="eastAsia"/>
          <w:sz w:val="18"/>
          <w:szCs w:val="18"/>
        </w:rPr>
        <w:t xml:space="preserve"> 2008, pp.11-15</w:t>
      </w:r>
      <w:r>
        <w:rPr>
          <w:rFonts w:hint="eastAsia"/>
          <w:sz w:val="18"/>
          <w:szCs w:val="18"/>
        </w:rPr>
        <w:t>より</w:t>
      </w:r>
      <w:r w:rsidRPr="001E1AA6">
        <w:rPr>
          <w:rFonts w:hint="eastAsia"/>
          <w:sz w:val="18"/>
          <w:szCs w:val="18"/>
        </w:rPr>
        <w:t>。</w:t>
      </w:r>
    </w:p>
  </w:footnote>
  <w:footnote w:id="11">
    <w:p w:rsidR="002A68E3" w:rsidRPr="00D86464" w:rsidRDefault="002A68E3">
      <w:pPr>
        <w:pStyle w:val="aa"/>
        <w:rPr>
          <w:sz w:val="18"/>
          <w:szCs w:val="18"/>
        </w:rPr>
      </w:pPr>
      <w:r>
        <w:rPr>
          <w:rStyle w:val="ac"/>
        </w:rPr>
        <w:footnoteRef/>
      </w:r>
      <w:r w:rsidRPr="00BF7262">
        <w:rPr>
          <w:sz w:val="18"/>
        </w:rPr>
        <w:t xml:space="preserve"> </w:t>
      </w:r>
      <w:r w:rsidRPr="00D86464">
        <w:rPr>
          <w:rFonts w:hint="eastAsia"/>
          <w:sz w:val="18"/>
          <w:szCs w:val="18"/>
        </w:rPr>
        <w:t>以上の</w:t>
      </w:r>
      <w:r w:rsidRPr="00D86464">
        <w:rPr>
          <w:rFonts w:hint="eastAsia"/>
          <w:sz w:val="18"/>
          <w:szCs w:val="18"/>
        </w:rPr>
        <w:t>2</w:t>
      </w:r>
      <w:r w:rsidRPr="00D86464">
        <w:rPr>
          <w:rFonts w:hint="eastAsia"/>
          <w:sz w:val="18"/>
          <w:szCs w:val="18"/>
        </w:rPr>
        <w:t>つの指令については、</w:t>
      </w:r>
      <w:r w:rsidR="003407AE" w:rsidRPr="00D86464">
        <w:rPr>
          <w:rFonts w:hint="eastAsia"/>
          <w:sz w:val="18"/>
          <w:szCs w:val="18"/>
        </w:rPr>
        <w:t>指令</w:t>
      </w:r>
      <w:r w:rsidR="003407AE" w:rsidRPr="00D86464">
        <w:rPr>
          <w:rFonts w:hint="eastAsia"/>
          <w:sz w:val="18"/>
          <w:szCs w:val="18"/>
        </w:rPr>
        <w:t>2006/48/EC (</w:t>
      </w:r>
      <w:r w:rsidRPr="00D86464">
        <w:rPr>
          <w:rFonts w:hint="eastAsia"/>
          <w:sz w:val="18"/>
          <w:szCs w:val="18"/>
        </w:rPr>
        <w:t>OJ No L 177</w:t>
      </w:r>
      <w:r w:rsidR="003407AE" w:rsidRPr="00D86464">
        <w:rPr>
          <w:rFonts w:hint="eastAsia"/>
          <w:sz w:val="18"/>
          <w:szCs w:val="18"/>
        </w:rPr>
        <w:t>)</w:t>
      </w:r>
      <w:r w:rsidR="003407AE" w:rsidRPr="00D86464">
        <w:rPr>
          <w:rFonts w:hint="eastAsia"/>
          <w:sz w:val="18"/>
          <w:szCs w:val="18"/>
        </w:rPr>
        <w:t>を</w:t>
      </w:r>
      <w:r w:rsidR="003407AE" w:rsidRPr="00D86464">
        <w:rPr>
          <w:rFonts w:hint="eastAsia"/>
          <w:sz w:val="18"/>
          <w:szCs w:val="18"/>
        </w:rPr>
        <w:t>2004/49/EC (OJ No L 177)</w:t>
      </w:r>
      <w:r w:rsidR="003407AE" w:rsidRPr="00D86464">
        <w:rPr>
          <w:rFonts w:hint="eastAsia"/>
          <w:sz w:val="18"/>
          <w:szCs w:val="18"/>
        </w:rPr>
        <w:t>。</w:t>
      </w:r>
    </w:p>
  </w:footnote>
  <w:footnote w:id="12">
    <w:p w:rsidR="00BF7262" w:rsidRPr="00D86464" w:rsidRDefault="00BF7262">
      <w:pPr>
        <w:pStyle w:val="aa"/>
        <w:rPr>
          <w:sz w:val="18"/>
          <w:szCs w:val="18"/>
        </w:rPr>
      </w:pPr>
      <w:r w:rsidRPr="00D86464">
        <w:rPr>
          <w:rStyle w:val="ac"/>
          <w:sz w:val="18"/>
          <w:szCs w:val="18"/>
        </w:rPr>
        <w:footnoteRef/>
      </w:r>
      <w:r w:rsidRPr="00D86464">
        <w:rPr>
          <w:sz w:val="18"/>
          <w:szCs w:val="18"/>
        </w:rPr>
        <w:t xml:space="preserve"> </w:t>
      </w:r>
      <w:r w:rsidRPr="00D86464">
        <w:rPr>
          <w:rFonts w:hint="eastAsia"/>
          <w:sz w:val="18"/>
          <w:szCs w:val="18"/>
        </w:rPr>
        <w:t>指令</w:t>
      </w:r>
      <w:r w:rsidRPr="00D86464">
        <w:rPr>
          <w:rFonts w:hint="eastAsia"/>
          <w:sz w:val="18"/>
          <w:szCs w:val="18"/>
        </w:rPr>
        <w:t>1994/</w:t>
      </w:r>
      <w:r w:rsidR="00D86464" w:rsidRPr="00D86464">
        <w:rPr>
          <w:rFonts w:hint="eastAsia"/>
          <w:sz w:val="18"/>
          <w:szCs w:val="18"/>
        </w:rPr>
        <w:t>19/EC (OJ No L 135)</w:t>
      </w:r>
      <w:r w:rsidR="00D86464" w:rsidRPr="00D86464">
        <w:rPr>
          <w:rFonts w:hint="eastAsia"/>
          <w:sz w:val="18"/>
          <w:szCs w:val="18"/>
        </w:rPr>
        <w:t>。</w:t>
      </w:r>
    </w:p>
  </w:footnote>
  <w:footnote w:id="13">
    <w:p w:rsidR="002A68E3" w:rsidRPr="005026BA" w:rsidRDefault="002A68E3" w:rsidP="00150D1A">
      <w:pPr>
        <w:pStyle w:val="aa"/>
        <w:rPr>
          <w:sz w:val="18"/>
          <w:szCs w:val="18"/>
        </w:rPr>
      </w:pPr>
      <w:r w:rsidRPr="005026BA">
        <w:rPr>
          <w:rStyle w:val="ac"/>
          <w:sz w:val="18"/>
          <w:szCs w:val="18"/>
        </w:rPr>
        <w:footnoteRef/>
      </w:r>
      <w:r w:rsidRPr="005026BA">
        <w:rPr>
          <w:sz w:val="18"/>
          <w:szCs w:val="18"/>
        </w:rPr>
        <w:t xml:space="preserve"> </w:t>
      </w:r>
      <w:r w:rsidRPr="005026BA">
        <w:rPr>
          <w:rFonts w:hint="eastAsia"/>
          <w:sz w:val="18"/>
          <w:szCs w:val="18"/>
        </w:rPr>
        <w:t>高﨑</w:t>
      </w:r>
      <w:r w:rsidRPr="005026BA">
        <w:rPr>
          <w:rFonts w:hint="eastAsia"/>
          <w:sz w:val="18"/>
          <w:szCs w:val="18"/>
        </w:rPr>
        <w:t>(2011)</w:t>
      </w:r>
      <w:r w:rsidRPr="005026BA">
        <w:rPr>
          <w:rFonts w:hint="eastAsia"/>
          <w:sz w:val="18"/>
          <w:szCs w:val="18"/>
        </w:rPr>
        <w:t>、</w:t>
      </w:r>
      <w:r w:rsidRPr="005026BA">
        <w:rPr>
          <w:rFonts w:hint="eastAsia"/>
          <w:sz w:val="18"/>
          <w:szCs w:val="18"/>
        </w:rPr>
        <w:t>246</w:t>
      </w:r>
      <w:r w:rsidRPr="005026BA">
        <w:rPr>
          <w:rFonts w:hint="eastAsia"/>
          <w:sz w:val="18"/>
          <w:szCs w:val="18"/>
        </w:rPr>
        <w:t>～</w:t>
      </w:r>
      <w:r w:rsidRPr="005026BA">
        <w:rPr>
          <w:rFonts w:hint="eastAsia"/>
          <w:sz w:val="18"/>
          <w:szCs w:val="18"/>
        </w:rPr>
        <w:t>249</w:t>
      </w:r>
      <w:r w:rsidRPr="005026BA">
        <w:rPr>
          <w:rFonts w:hint="eastAsia"/>
          <w:sz w:val="18"/>
          <w:szCs w:val="18"/>
        </w:rPr>
        <w:t>頁。</w:t>
      </w:r>
    </w:p>
  </w:footnote>
  <w:footnote w:id="14">
    <w:p w:rsidR="002A68E3" w:rsidRPr="004C06C6" w:rsidRDefault="002A68E3" w:rsidP="00150D1A">
      <w:pPr>
        <w:pStyle w:val="aa"/>
        <w:rPr>
          <w:sz w:val="18"/>
          <w:szCs w:val="18"/>
        </w:rPr>
      </w:pPr>
      <w:r w:rsidRPr="004C06C6">
        <w:rPr>
          <w:rStyle w:val="ac"/>
          <w:sz w:val="18"/>
          <w:szCs w:val="18"/>
        </w:rPr>
        <w:footnoteRef/>
      </w:r>
      <w:r w:rsidRPr="004C06C6">
        <w:rPr>
          <w:sz w:val="18"/>
          <w:szCs w:val="18"/>
        </w:rPr>
        <w:t xml:space="preserve"> </w:t>
      </w:r>
      <w:r w:rsidRPr="004C06C6">
        <w:rPr>
          <w:rFonts w:hint="eastAsia"/>
          <w:sz w:val="18"/>
          <w:szCs w:val="18"/>
        </w:rPr>
        <w:t>バニンコバ</w:t>
      </w:r>
      <w:r w:rsidRPr="004C06C6">
        <w:rPr>
          <w:rFonts w:hint="eastAsia"/>
          <w:sz w:val="18"/>
          <w:szCs w:val="18"/>
        </w:rPr>
        <w:t>(2009)</w:t>
      </w:r>
      <w:r w:rsidRPr="004C06C6">
        <w:rPr>
          <w:rFonts w:hint="eastAsia"/>
          <w:sz w:val="18"/>
          <w:szCs w:val="18"/>
        </w:rPr>
        <w:t>によれば、対中東欧諸国への金融</w:t>
      </w:r>
      <w:r w:rsidRPr="004C06C6">
        <w:rPr>
          <w:rFonts w:hint="eastAsia"/>
          <w:sz w:val="18"/>
          <w:szCs w:val="18"/>
        </w:rPr>
        <w:t>FDI</w:t>
      </w:r>
      <w:r w:rsidRPr="004C06C6">
        <w:rPr>
          <w:rFonts w:hint="eastAsia"/>
          <w:sz w:val="18"/>
          <w:szCs w:val="18"/>
        </w:rPr>
        <w:t>を投資国別に見た場合、</w:t>
      </w:r>
      <w:r w:rsidRPr="004C06C6">
        <w:rPr>
          <w:rFonts w:hint="eastAsia"/>
          <w:sz w:val="18"/>
          <w:szCs w:val="18"/>
        </w:rPr>
        <w:t>EU</w:t>
      </w:r>
      <w:r w:rsidRPr="004C06C6">
        <w:rPr>
          <w:rFonts w:hint="eastAsia"/>
          <w:sz w:val="18"/>
          <w:szCs w:val="18"/>
        </w:rPr>
        <w:t>コア諸国</w:t>
      </w:r>
      <w:r w:rsidRPr="004C06C6">
        <w:rPr>
          <w:rFonts w:hint="eastAsia"/>
          <w:sz w:val="18"/>
          <w:szCs w:val="18"/>
        </w:rPr>
        <w:t>(</w:t>
      </w:r>
      <w:r w:rsidRPr="004C06C6">
        <w:rPr>
          <w:rFonts w:hint="eastAsia"/>
          <w:sz w:val="18"/>
          <w:szCs w:val="18"/>
        </w:rPr>
        <w:t>ドイツ・オーストリア</w:t>
      </w:r>
      <w:r w:rsidRPr="004C06C6">
        <w:rPr>
          <w:rFonts w:hint="eastAsia"/>
          <w:sz w:val="18"/>
          <w:szCs w:val="18"/>
        </w:rPr>
        <w:t>)</w:t>
      </w:r>
      <w:r w:rsidRPr="004C06C6">
        <w:rPr>
          <w:rFonts w:hint="eastAsia"/>
          <w:sz w:val="18"/>
          <w:szCs w:val="18"/>
        </w:rPr>
        <w:t>の比率が高いのに対し、バルト</w:t>
      </w:r>
      <w:r w:rsidRPr="004C06C6">
        <w:rPr>
          <w:rFonts w:hint="eastAsia"/>
          <w:sz w:val="18"/>
          <w:szCs w:val="18"/>
        </w:rPr>
        <w:t>3</w:t>
      </w:r>
      <w:r w:rsidRPr="004C06C6">
        <w:rPr>
          <w:rFonts w:hint="eastAsia"/>
          <w:sz w:val="18"/>
          <w:szCs w:val="18"/>
        </w:rPr>
        <w:t>国のエストニア・ラトビアへの金融</w:t>
      </w:r>
      <w:r w:rsidRPr="004C06C6">
        <w:rPr>
          <w:rFonts w:hint="eastAsia"/>
          <w:sz w:val="18"/>
          <w:szCs w:val="18"/>
        </w:rPr>
        <w:t>FDI</w:t>
      </w:r>
      <w:r w:rsidRPr="004C06C6">
        <w:rPr>
          <w:rFonts w:hint="eastAsia"/>
          <w:sz w:val="18"/>
          <w:szCs w:val="18"/>
        </w:rPr>
        <w:t>では北欧諸国</w:t>
      </w:r>
      <w:r w:rsidRPr="004C06C6">
        <w:rPr>
          <w:rFonts w:hint="eastAsia"/>
          <w:sz w:val="18"/>
          <w:szCs w:val="18"/>
        </w:rPr>
        <w:t>(</w:t>
      </w:r>
      <w:r w:rsidRPr="004C06C6">
        <w:rPr>
          <w:rFonts w:hint="eastAsia"/>
          <w:sz w:val="18"/>
          <w:szCs w:val="18"/>
        </w:rPr>
        <w:t>スウェーデン・フィンランド</w:t>
      </w:r>
      <w:r w:rsidRPr="004C06C6">
        <w:rPr>
          <w:rFonts w:hint="eastAsia"/>
          <w:sz w:val="18"/>
          <w:szCs w:val="18"/>
        </w:rPr>
        <w:t>)</w:t>
      </w:r>
      <w:r w:rsidRPr="004C06C6">
        <w:rPr>
          <w:rFonts w:hint="eastAsia"/>
          <w:sz w:val="18"/>
          <w:szCs w:val="18"/>
        </w:rPr>
        <w:t>の比率が高いという。</w:t>
      </w:r>
    </w:p>
  </w:footnote>
  <w:footnote w:id="15">
    <w:p w:rsidR="002A68E3" w:rsidRPr="004C06C6" w:rsidRDefault="002A68E3" w:rsidP="00150D1A">
      <w:pPr>
        <w:pStyle w:val="aa"/>
        <w:rPr>
          <w:sz w:val="18"/>
          <w:szCs w:val="18"/>
        </w:rPr>
      </w:pPr>
      <w:r w:rsidRPr="004C06C6">
        <w:rPr>
          <w:rStyle w:val="ac"/>
          <w:sz w:val="18"/>
          <w:szCs w:val="18"/>
        </w:rPr>
        <w:footnoteRef/>
      </w:r>
      <w:r w:rsidRPr="004C06C6">
        <w:rPr>
          <w:sz w:val="18"/>
          <w:szCs w:val="18"/>
        </w:rPr>
        <w:t xml:space="preserve"> </w:t>
      </w:r>
      <w:r w:rsidRPr="004C06C6">
        <w:rPr>
          <w:rFonts w:hint="eastAsia"/>
          <w:sz w:val="18"/>
          <w:szCs w:val="18"/>
        </w:rPr>
        <w:t>2007</w:t>
      </w:r>
      <w:r w:rsidRPr="004C06C6">
        <w:rPr>
          <w:rFonts w:hint="eastAsia"/>
          <w:sz w:val="18"/>
          <w:szCs w:val="18"/>
        </w:rPr>
        <w:t>年</w:t>
      </w:r>
      <w:r w:rsidRPr="004C06C6">
        <w:rPr>
          <w:rFonts w:hint="eastAsia"/>
          <w:sz w:val="18"/>
          <w:szCs w:val="18"/>
        </w:rPr>
        <w:t>9</w:t>
      </w:r>
      <w:r w:rsidRPr="004C06C6">
        <w:rPr>
          <w:rFonts w:hint="eastAsia"/>
          <w:sz w:val="18"/>
          <w:szCs w:val="18"/>
        </w:rPr>
        <w:t>月、ルノー日産はモロッコ北部に位置するタンジェ・フリーゾーンに年産</w:t>
      </w:r>
      <w:r w:rsidRPr="004C06C6">
        <w:rPr>
          <w:rFonts w:hint="eastAsia"/>
          <w:sz w:val="18"/>
          <w:szCs w:val="18"/>
        </w:rPr>
        <w:t>40</w:t>
      </w:r>
      <w:r w:rsidRPr="004C06C6">
        <w:rPr>
          <w:rFonts w:hint="eastAsia"/>
          <w:sz w:val="18"/>
          <w:szCs w:val="18"/>
        </w:rPr>
        <w:t>万台レベルの新工場の設立を発表した。詳細は、高﨑</w:t>
      </w:r>
      <w:r w:rsidRPr="004C06C6">
        <w:rPr>
          <w:rFonts w:hint="eastAsia"/>
          <w:sz w:val="18"/>
          <w:szCs w:val="18"/>
        </w:rPr>
        <w:t>(2010)</w:t>
      </w:r>
      <w:r w:rsidRPr="004C06C6">
        <w:rPr>
          <w:rFonts w:hint="eastAsia"/>
          <w:sz w:val="18"/>
          <w:szCs w:val="18"/>
        </w:rPr>
        <w:t>および</w:t>
      </w:r>
      <w:r w:rsidRPr="004C06C6">
        <w:rPr>
          <w:rFonts w:hint="eastAsia"/>
          <w:sz w:val="18"/>
          <w:szCs w:val="18"/>
        </w:rPr>
        <w:t>(2011)</w:t>
      </w:r>
      <w:r w:rsidRPr="004C06C6">
        <w:rPr>
          <w:rFonts w:hint="eastAsia"/>
          <w:sz w:val="18"/>
          <w:szCs w:val="18"/>
        </w:rPr>
        <w:t>を参照されたい。</w:t>
      </w:r>
    </w:p>
  </w:footnote>
  <w:footnote w:id="16">
    <w:p w:rsidR="002A68E3" w:rsidRPr="004C06C6" w:rsidRDefault="002A68E3" w:rsidP="00150D1A">
      <w:pPr>
        <w:pStyle w:val="aa"/>
        <w:rPr>
          <w:sz w:val="18"/>
          <w:szCs w:val="18"/>
        </w:rPr>
      </w:pPr>
      <w:r w:rsidRPr="004C06C6">
        <w:rPr>
          <w:rStyle w:val="ac"/>
          <w:sz w:val="18"/>
          <w:szCs w:val="18"/>
        </w:rPr>
        <w:footnoteRef/>
      </w:r>
      <w:r w:rsidRPr="004C06C6">
        <w:rPr>
          <w:sz w:val="18"/>
          <w:szCs w:val="18"/>
        </w:rPr>
        <w:t xml:space="preserve"> </w:t>
      </w:r>
      <w:r w:rsidRPr="004C06C6">
        <w:rPr>
          <w:rFonts w:hint="eastAsia"/>
          <w:sz w:val="18"/>
          <w:szCs w:val="18"/>
        </w:rPr>
        <w:t>Dean(2009), 861</w:t>
      </w:r>
      <w:r w:rsidRPr="004C06C6">
        <w:rPr>
          <w:rFonts w:hint="eastAsia"/>
          <w:sz w:val="18"/>
          <w:szCs w:val="18"/>
        </w:rPr>
        <w:t>頁参照。</w:t>
      </w:r>
    </w:p>
  </w:footnote>
  <w:footnote w:id="17">
    <w:p w:rsidR="002A68E3" w:rsidRPr="004C06C6" w:rsidRDefault="002A68E3" w:rsidP="00150D1A">
      <w:pPr>
        <w:pStyle w:val="aa"/>
        <w:rPr>
          <w:sz w:val="18"/>
          <w:szCs w:val="18"/>
        </w:rPr>
      </w:pPr>
      <w:r w:rsidRPr="004C06C6">
        <w:rPr>
          <w:rStyle w:val="ac"/>
          <w:sz w:val="18"/>
          <w:szCs w:val="18"/>
        </w:rPr>
        <w:footnoteRef/>
      </w:r>
      <w:r w:rsidRPr="004C06C6">
        <w:rPr>
          <w:sz w:val="18"/>
          <w:szCs w:val="18"/>
        </w:rPr>
        <w:t xml:space="preserve"> </w:t>
      </w:r>
      <w:r w:rsidRPr="004C06C6">
        <w:rPr>
          <w:rFonts w:hint="eastAsia"/>
          <w:sz w:val="18"/>
          <w:szCs w:val="18"/>
        </w:rPr>
        <w:t>2001</w:t>
      </w:r>
      <w:r w:rsidRPr="004C06C6">
        <w:rPr>
          <w:rFonts w:hint="eastAsia"/>
          <w:sz w:val="18"/>
          <w:szCs w:val="18"/>
        </w:rPr>
        <w:t>年、</w:t>
      </w:r>
      <w:r w:rsidRPr="004C06C6">
        <w:rPr>
          <w:rFonts w:hint="eastAsia"/>
          <w:sz w:val="18"/>
          <w:szCs w:val="18"/>
        </w:rPr>
        <w:t xml:space="preserve">Royal </w:t>
      </w:r>
      <w:proofErr w:type="spellStart"/>
      <w:r w:rsidRPr="004C06C6">
        <w:rPr>
          <w:rFonts w:hint="eastAsia"/>
          <w:sz w:val="18"/>
          <w:szCs w:val="18"/>
        </w:rPr>
        <w:t>Marocaine</w:t>
      </w:r>
      <w:proofErr w:type="spellEnd"/>
      <w:r w:rsidRPr="004C06C6">
        <w:rPr>
          <w:rFonts w:hint="eastAsia"/>
          <w:sz w:val="18"/>
          <w:szCs w:val="18"/>
        </w:rPr>
        <w:t xml:space="preserve"> </w:t>
      </w:r>
      <w:proofErr w:type="spellStart"/>
      <w:r w:rsidRPr="004C06C6">
        <w:rPr>
          <w:rFonts w:hint="eastAsia"/>
          <w:sz w:val="18"/>
          <w:szCs w:val="18"/>
        </w:rPr>
        <w:t>d</w:t>
      </w:r>
      <w:r w:rsidRPr="004C06C6">
        <w:rPr>
          <w:sz w:val="18"/>
          <w:szCs w:val="18"/>
        </w:rPr>
        <w:t>’</w:t>
      </w:r>
      <w:r w:rsidRPr="004C06C6">
        <w:rPr>
          <w:rFonts w:hint="eastAsia"/>
          <w:sz w:val="18"/>
          <w:szCs w:val="18"/>
        </w:rPr>
        <w:t>Assurance</w:t>
      </w:r>
      <w:proofErr w:type="spellEnd"/>
      <w:r w:rsidRPr="004C06C6">
        <w:rPr>
          <w:rFonts w:hint="eastAsia"/>
          <w:sz w:val="18"/>
          <w:szCs w:val="18"/>
        </w:rPr>
        <w:t>は、仏系</w:t>
      </w:r>
      <w:r w:rsidRPr="004C06C6">
        <w:rPr>
          <w:rFonts w:hint="eastAsia"/>
          <w:sz w:val="18"/>
          <w:szCs w:val="18"/>
        </w:rPr>
        <w:t>GAN</w:t>
      </w:r>
      <w:r w:rsidRPr="004C06C6">
        <w:rPr>
          <w:rFonts w:hint="eastAsia"/>
          <w:sz w:val="18"/>
          <w:szCs w:val="18"/>
        </w:rPr>
        <w:t>グループの現地子会社であった</w:t>
      </w:r>
      <w:r w:rsidRPr="004C06C6">
        <w:rPr>
          <w:rFonts w:hint="eastAsia"/>
          <w:sz w:val="18"/>
          <w:szCs w:val="18"/>
        </w:rPr>
        <w:t xml:space="preserve">Al </w:t>
      </w:r>
      <w:proofErr w:type="spellStart"/>
      <w:r w:rsidRPr="004C06C6">
        <w:rPr>
          <w:rFonts w:hint="eastAsia"/>
          <w:sz w:val="18"/>
          <w:szCs w:val="18"/>
        </w:rPr>
        <w:t>Wataniya</w:t>
      </w:r>
      <w:proofErr w:type="spellEnd"/>
      <w:r w:rsidRPr="004C06C6">
        <w:rPr>
          <w:rFonts w:hint="eastAsia"/>
          <w:sz w:val="18"/>
          <w:szCs w:val="18"/>
        </w:rPr>
        <w:t>と合併した。現在、モロッコの保険セクターにおいてシェア第一位</w:t>
      </w:r>
      <w:r w:rsidRPr="004C06C6">
        <w:rPr>
          <w:rFonts w:hint="eastAsia"/>
          <w:sz w:val="18"/>
          <w:szCs w:val="18"/>
        </w:rPr>
        <w:t>(23%)</w:t>
      </w:r>
      <w:r w:rsidRPr="004C06C6">
        <w:rPr>
          <w:rFonts w:hint="eastAsia"/>
          <w:sz w:val="18"/>
          <w:szCs w:val="18"/>
        </w:rPr>
        <w:t>の</w:t>
      </w:r>
      <w:r w:rsidRPr="004C06C6">
        <w:rPr>
          <w:rFonts w:hint="eastAsia"/>
          <w:sz w:val="18"/>
          <w:szCs w:val="18"/>
        </w:rPr>
        <w:t xml:space="preserve">RMA  Al  </w:t>
      </w:r>
      <w:proofErr w:type="spellStart"/>
      <w:r w:rsidRPr="004C06C6">
        <w:rPr>
          <w:rFonts w:hint="eastAsia"/>
          <w:sz w:val="18"/>
          <w:szCs w:val="18"/>
        </w:rPr>
        <w:t>Watanya</w:t>
      </w:r>
      <w:proofErr w:type="spellEnd"/>
      <w:r w:rsidRPr="004C06C6">
        <w:rPr>
          <w:rFonts w:hint="eastAsia"/>
          <w:sz w:val="18"/>
          <w:szCs w:val="18"/>
        </w:rPr>
        <w:t>となっている。</w:t>
      </w:r>
    </w:p>
  </w:footnote>
  <w:footnote w:id="18">
    <w:p w:rsidR="009D7802" w:rsidRPr="00CD5BCB" w:rsidRDefault="009D7802" w:rsidP="009D7802">
      <w:pPr>
        <w:pStyle w:val="aa"/>
        <w:rPr>
          <w:sz w:val="18"/>
          <w:szCs w:val="18"/>
        </w:rPr>
      </w:pPr>
      <w:r w:rsidRPr="00CD5BCB">
        <w:rPr>
          <w:rStyle w:val="ac"/>
          <w:sz w:val="18"/>
          <w:szCs w:val="18"/>
        </w:rPr>
        <w:footnoteRef/>
      </w:r>
      <w:r w:rsidRPr="00CD5BCB">
        <w:rPr>
          <w:sz w:val="18"/>
          <w:szCs w:val="18"/>
        </w:rPr>
        <w:t xml:space="preserve"> </w:t>
      </w:r>
      <w:r w:rsidRPr="00CD5BCB">
        <w:rPr>
          <w:rFonts w:hint="eastAsia"/>
          <w:sz w:val="18"/>
          <w:szCs w:val="18"/>
        </w:rPr>
        <w:t>ANIMA Invest in med Press release, various issues</w:t>
      </w:r>
      <w:r w:rsidRPr="00CD5BCB">
        <w:rPr>
          <w:rFonts w:hint="eastAsia"/>
          <w:sz w:val="18"/>
          <w:szCs w:val="18"/>
        </w:rPr>
        <w:t>より。</w:t>
      </w:r>
    </w:p>
  </w:footnote>
  <w:footnote w:id="19">
    <w:p w:rsidR="002A68E3" w:rsidRPr="00AD02BC" w:rsidRDefault="002A68E3">
      <w:pPr>
        <w:pStyle w:val="aa"/>
        <w:rPr>
          <w:sz w:val="18"/>
          <w:szCs w:val="18"/>
        </w:rPr>
      </w:pPr>
      <w:r w:rsidRPr="00AD02BC">
        <w:rPr>
          <w:rStyle w:val="ac"/>
          <w:sz w:val="18"/>
          <w:szCs w:val="18"/>
        </w:rPr>
        <w:footnoteRef/>
      </w:r>
      <w:r w:rsidRPr="00AD02BC">
        <w:rPr>
          <w:sz w:val="18"/>
          <w:szCs w:val="18"/>
        </w:rPr>
        <w:t xml:space="preserve"> </w:t>
      </w:r>
      <w:r w:rsidRPr="00AD02BC">
        <w:rPr>
          <w:rFonts w:hint="eastAsia"/>
          <w:sz w:val="18"/>
          <w:szCs w:val="18"/>
        </w:rPr>
        <w:t>川本</w:t>
      </w:r>
      <w:r w:rsidRPr="00AD02BC">
        <w:rPr>
          <w:rFonts w:hint="eastAsia"/>
          <w:sz w:val="18"/>
          <w:szCs w:val="18"/>
        </w:rPr>
        <w:t>(1995)</w:t>
      </w:r>
      <w:r w:rsidRPr="00AD02BC">
        <w:rPr>
          <w:rFonts w:hint="eastAsia"/>
          <w:sz w:val="18"/>
          <w:szCs w:val="18"/>
        </w:rPr>
        <w:t>は、こうした海外展開を行う多国籍銀行業を「ホスト・カントリーバンキングの展開」として考察している。</w:t>
      </w:r>
    </w:p>
  </w:footnote>
  <w:footnote w:id="20">
    <w:p w:rsidR="002A68E3" w:rsidRPr="00AD02BC" w:rsidRDefault="002A68E3">
      <w:pPr>
        <w:pStyle w:val="aa"/>
        <w:rPr>
          <w:sz w:val="18"/>
          <w:szCs w:val="18"/>
        </w:rPr>
      </w:pPr>
      <w:r w:rsidRPr="00AD02BC">
        <w:rPr>
          <w:rStyle w:val="ac"/>
          <w:sz w:val="18"/>
          <w:szCs w:val="18"/>
        </w:rPr>
        <w:footnoteRef/>
      </w:r>
      <w:r w:rsidRPr="00AD02BC">
        <w:rPr>
          <w:rFonts w:hint="eastAsia"/>
          <w:sz w:val="18"/>
          <w:szCs w:val="18"/>
        </w:rPr>
        <w:t>田中・長部・久保・岩田</w:t>
      </w:r>
      <w:r w:rsidRPr="00AD02BC">
        <w:rPr>
          <w:rFonts w:hint="eastAsia"/>
          <w:sz w:val="18"/>
          <w:szCs w:val="18"/>
        </w:rPr>
        <w:t xml:space="preserve"> (2006)</w:t>
      </w:r>
      <w:r w:rsidRPr="00AD02BC">
        <w:rPr>
          <w:rFonts w:hint="eastAsia"/>
          <w:sz w:val="18"/>
          <w:szCs w:val="18"/>
        </w:rPr>
        <w:t>、</w:t>
      </w:r>
      <w:r w:rsidRPr="00AD02BC">
        <w:rPr>
          <w:rFonts w:hint="eastAsia"/>
          <w:sz w:val="18"/>
          <w:szCs w:val="18"/>
        </w:rPr>
        <w:t>195</w:t>
      </w:r>
      <w:r w:rsidRPr="00AD02BC">
        <w:rPr>
          <w:rFonts w:hint="eastAsia"/>
          <w:sz w:val="18"/>
          <w:szCs w:val="18"/>
        </w:rPr>
        <w:t>～</w:t>
      </w:r>
      <w:r w:rsidRPr="00AD02BC">
        <w:rPr>
          <w:rFonts w:hint="eastAsia"/>
          <w:sz w:val="18"/>
          <w:szCs w:val="18"/>
        </w:rPr>
        <w:t>199</w:t>
      </w:r>
      <w:r w:rsidRPr="00AD02BC">
        <w:rPr>
          <w:rFonts w:hint="eastAsia"/>
          <w:sz w:val="18"/>
          <w:szCs w:val="18"/>
        </w:rPr>
        <w:t>頁参照。</w:t>
      </w:r>
    </w:p>
  </w:footnote>
  <w:footnote w:id="21">
    <w:p w:rsidR="002A68E3" w:rsidRPr="00AD02BC" w:rsidRDefault="002A68E3">
      <w:pPr>
        <w:pStyle w:val="aa"/>
        <w:rPr>
          <w:sz w:val="18"/>
          <w:szCs w:val="18"/>
        </w:rPr>
      </w:pPr>
      <w:r w:rsidRPr="00AD02BC">
        <w:rPr>
          <w:rStyle w:val="ac"/>
          <w:sz w:val="18"/>
          <w:szCs w:val="18"/>
        </w:rPr>
        <w:footnoteRef/>
      </w:r>
      <w:r w:rsidRPr="00AD02BC">
        <w:rPr>
          <w:sz w:val="18"/>
          <w:szCs w:val="18"/>
        </w:rPr>
        <w:t xml:space="preserve"> </w:t>
      </w:r>
      <w:r w:rsidRPr="00AD02BC">
        <w:rPr>
          <w:rFonts w:hint="eastAsia"/>
          <w:sz w:val="18"/>
          <w:szCs w:val="18"/>
        </w:rPr>
        <w:t>伊鹿倉</w:t>
      </w:r>
      <w:r w:rsidRPr="00AD02BC">
        <w:rPr>
          <w:rFonts w:hint="eastAsia"/>
          <w:sz w:val="18"/>
          <w:szCs w:val="18"/>
        </w:rPr>
        <w:t>(2002)</w:t>
      </w:r>
      <w:r w:rsidRPr="00AD02BC">
        <w:rPr>
          <w:rFonts w:hint="eastAsia"/>
          <w:sz w:val="18"/>
          <w:szCs w:val="18"/>
        </w:rPr>
        <w:t>では、中南米地域に焦点をあて、</w:t>
      </w:r>
      <w:r w:rsidRPr="00AD02BC">
        <w:rPr>
          <w:rFonts w:hint="eastAsia"/>
          <w:sz w:val="18"/>
          <w:szCs w:val="18"/>
        </w:rPr>
        <w:t>90</w:t>
      </w:r>
      <w:r w:rsidRPr="00AD02BC">
        <w:rPr>
          <w:rFonts w:hint="eastAsia"/>
          <w:sz w:val="18"/>
          <w:szCs w:val="18"/>
        </w:rPr>
        <w:t>年代後半以降の米系・スペイン系銀行による現地について詳細に検討している。</w:t>
      </w:r>
    </w:p>
  </w:footnote>
  <w:footnote w:id="22">
    <w:p w:rsidR="002A68E3" w:rsidRPr="00772F43" w:rsidRDefault="002A68E3">
      <w:pPr>
        <w:pStyle w:val="aa"/>
        <w:rPr>
          <w:sz w:val="18"/>
          <w:szCs w:val="18"/>
        </w:rPr>
      </w:pPr>
      <w:r w:rsidRPr="00772F43">
        <w:rPr>
          <w:rStyle w:val="ac"/>
          <w:sz w:val="18"/>
          <w:szCs w:val="18"/>
        </w:rPr>
        <w:footnoteRef/>
      </w:r>
      <w:r w:rsidRPr="00772F43">
        <w:rPr>
          <w:sz w:val="18"/>
          <w:szCs w:val="18"/>
        </w:rPr>
        <w:t xml:space="preserve"> </w:t>
      </w:r>
      <w:r w:rsidRPr="00772F43">
        <w:rPr>
          <w:rFonts w:hint="eastAsia"/>
          <w:sz w:val="18"/>
          <w:szCs w:val="18"/>
        </w:rPr>
        <w:t>BIS</w:t>
      </w:r>
      <w:r w:rsidRPr="00772F43">
        <w:rPr>
          <w:rFonts w:hint="eastAsia"/>
          <w:sz w:val="18"/>
          <w:szCs w:val="18"/>
        </w:rPr>
        <w:t>統計の利用方法については、川本</w:t>
      </w:r>
      <w:r w:rsidRPr="00772F43">
        <w:rPr>
          <w:rFonts w:hint="eastAsia"/>
          <w:sz w:val="18"/>
          <w:szCs w:val="18"/>
        </w:rPr>
        <w:t>(1995)</w:t>
      </w:r>
      <w:r w:rsidRPr="00772F43">
        <w:rPr>
          <w:rFonts w:hint="eastAsia"/>
          <w:sz w:val="18"/>
          <w:szCs w:val="18"/>
        </w:rPr>
        <w:t>、川本・小山</w:t>
      </w:r>
      <w:r w:rsidRPr="00772F43">
        <w:rPr>
          <w:rFonts w:hint="eastAsia"/>
          <w:sz w:val="18"/>
          <w:szCs w:val="18"/>
        </w:rPr>
        <w:t>(2006)</w:t>
      </w:r>
      <w:r w:rsidRPr="00772F43">
        <w:rPr>
          <w:rFonts w:hint="eastAsia"/>
          <w:sz w:val="18"/>
          <w:szCs w:val="18"/>
        </w:rPr>
        <w:t>等を参照。</w:t>
      </w:r>
    </w:p>
  </w:footnote>
  <w:footnote w:id="23">
    <w:p w:rsidR="002A68E3" w:rsidRPr="00772F43" w:rsidRDefault="002A68E3">
      <w:pPr>
        <w:pStyle w:val="aa"/>
        <w:rPr>
          <w:sz w:val="18"/>
          <w:szCs w:val="18"/>
        </w:rPr>
      </w:pPr>
      <w:r w:rsidRPr="00772F43">
        <w:rPr>
          <w:rStyle w:val="ac"/>
          <w:sz w:val="18"/>
          <w:szCs w:val="18"/>
        </w:rPr>
        <w:footnoteRef/>
      </w:r>
      <w:r w:rsidRPr="00772F43">
        <w:rPr>
          <w:sz w:val="18"/>
          <w:szCs w:val="18"/>
        </w:rPr>
        <w:t xml:space="preserve"> </w:t>
      </w:r>
      <w:r w:rsidRPr="00772F43">
        <w:rPr>
          <w:rFonts w:hint="eastAsia"/>
          <w:sz w:val="18"/>
          <w:szCs w:val="18"/>
        </w:rPr>
        <w:t>伊鹿倉</w:t>
      </w:r>
      <w:r w:rsidRPr="00772F43">
        <w:rPr>
          <w:rFonts w:hint="eastAsia"/>
          <w:sz w:val="18"/>
          <w:szCs w:val="18"/>
        </w:rPr>
        <w:t>(2004)</w:t>
      </w:r>
      <w:r w:rsidRPr="00772F43">
        <w:rPr>
          <w:rFonts w:hint="eastAsia"/>
          <w:sz w:val="18"/>
          <w:szCs w:val="18"/>
        </w:rPr>
        <w:t>、</w:t>
      </w:r>
      <w:r w:rsidRPr="00772F43">
        <w:rPr>
          <w:rFonts w:hint="eastAsia"/>
          <w:sz w:val="18"/>
          <w:szCs w:val="18"/>
        </w:rPr>
        <w:t>31</w:t>
      </w:r>
      <w:r w:rsidRPr="00772F43">
        <w:rPr>
          <w:rFonts w:hint="eastAsia"/>
          <w:sz w:val="18"/>
          <w:szCs w:val="18"/>
        </w:rPr>
        <w:t>頁。</w:t>
      </w:r>
    </w:p>
  </w:footnote>
  <w:footnote w:id="24">
    <w:p w:rsidR="002A68E3" w:rsidRPr="00772F43" w:rsidRDefault="002A68E3">
      <w:pPr>
        <w:pStyle w:val="aa"/>
        <w:rPr>
          <w:sz w:val="18"/>
          <w:szCs w:val="18"/>
        </w:rPr>
      </w:pPr>
      <w:r w:rsidRPr="00772F43">
        <w:rPr>
          <w:rStyle w:val="ac"/>
          <w:sz w:val="18"/>
          <w:szCs w:val="18"/>
        </w:rPr>
        <w:footnoteRef/>
      </w:r>
      <w:r w:rsidRPr="00772F43">
        <w:rPr>
          <w:sz w:val="18"/>
          <w:szCs w:val="18"/>
        </w:rPr>
        <w:t xml:space="preserve"> </w:t>
      </w:r>
      <w:r w:rsidRPr="00772F43">
        <w:rPr>
          <w:rFonts w:hint="eastAsia"/>
          <w:sz w:val="18"/>
          <w:szCs w:val="18"/>
        </w:rPr>
        <w:t>ワッタナワリン</w:t>
      </w:r>
      <w:r w:rsidRPr="00772F43">
        <w:rPr>
          <w:rFonts w:hint="eastAsia"/>
          <w:sz w:val="18"/>
          <w:szCs w:val="18"/>
        </w:rPr>
        <w:t>(2010)</w:t>
      </w:r>
      <w:r w:rsidRPr="00772F43">
        <w:rPr>
          <w:rFonts w:hint="eastAsia"/>
          <w:sz w:val="18"/>
          <w:szCs w:val="18"/>
        </w:rPr>
        <w:t>。</w:t>
      </w:r>
    </w:p>
  </w:footnote>
  <w:footnote w:id="25">
    <w:p w:rsidR="002A68E3" w:rsidRPr="00772F43" w:rsidRDefault="002A68E3">
      <w:pPr>
        <w:pStyle w:val="aa"/>
        <w:rPr>
          <w:sz w:val="18"/>
          <w:szCs w:val="18"/>
        </w:rPr>
      </w:pPr>
      <w:r w:rsidRPr="00772F43">
        <w:rPr>
          <w:rStyle w:val="ac"/>
          <w:sz w:val="18"/>
          <w:szCs w:val="18"/>
        </w:rPr>
        <w:footnoteRef/>
      </w:r>
      <w:r w:rsidRPr="00772F43">
        <w:rPr>
          <w:sz w:val="18"/>
          <w:szCs w:val="18"/>
        </w:rPr>
        <w:t xml:space="preserve"> </w:t>
      </w:r>
      <w:r w:rsidRPr="00772F43">
        <w:rPr>
          <w:rFonts w:hint="eastAsia"/>
          <w:sz w:val="18"/>
          <w:szCs w:val="18"/>
        </w:rPr>
        <w:t>川本・小山</w:t>
      </w:r>
      <w:r w:rsidRPr="00772F43">
        <w:rPr>
          <w:rFonts w:hint="eastAsia"/>
          <w:sz w:val="18"/>
          <w:szCs w:val="18"/>
        </w:rPr>
        <w:t>(2008)</w:t>
      </w:r>
      <w:r w:rsidRPr="00772F43">
        <w:rPr>
          <w:rFonts w:hint="eastAsia"/>
          <w:sz w:val="18"/>
          <w:szCs w:val="18"/>
        </w:rPr>
        <w:t>、</w:t>
      </w:r>
      <w:r w:rsidRPr="00772F43">
        <w:rPr>
          <w:rFonts w:hint="eastAsia"/>
          <w:sz w:val="18"/>
          <w:szCs w:val="18"/>
        </w:rPr>
        <w:t>210</w:t>
      </w:r>
      <w:r w:rsidRPr="00772F43">
        <w:rPr>
          <w:rFonts w:hint="eastAsia"/>
          <w:sz w:val="18"/>
          <w:szCs w:val="18"/>
        </w:rPr>
        <w:t>頁。</w:t>
      </w:r>
    </w:p>
  </w:footnote>
  <w:footnote w:id="26">
    <w:p w:rsidR="009D7802" w:rsidRPr="00772F43" w:rsidRDefault="009D7802" w:rsidP="009D7802">
      <w:pPr>
        <w:pStyle w:val="aa"/>
        <w:rPr>
          <w:sz w:val="18"/>
          <w:szCs w:val="18"/>
        </w:rPr>
      </w:pPr>
      <w:r w:rsidRPr="00772F43">
        <w:rPr>
          <w:rStyle w:val="ac"/>
          <w:sz w:val="18"/>
          <w:szCs w:val="18"/>
        </w:rPr>
        <w:footnoteRef/>
      </w:r>
      <w:r w:rsidRPr="00772F43">
        <w:rPr>
          <w:sz w:val="18"/>
          <w:szCs w:val="18"/>
        </w:rPr>
        <w:t xml:space="preserve"> </w:t>
      </w:r>
      <w:proofErr w:type="spellStart"/>
      <w:r w:rsidRPr="00772F43">
        <w:rPr>
          <w:rFonts w:hint="eastAsia"/>
          <w:sz w:val="18"/>
          <w:szCs w:val="18"/>
        </w:rPr>
        <w:t>Hufbauer</w:t>
      </w:r>
      <w:proofErr w:type="spellEnd"/>
      <w:r w:rsidRPr="00772F43">
        <w:rPr>
          <w:rFonts w:hint="eastAsia"/>
          <w:sz w:val="18"/>
          <w:szCs w:val="18"/>
        </w:rPr>
        <w:t xml:space="preserve"> and Brunel(2008)</w:t>
      </w:r>
      <w:r w:rsidRPr="00772F43">
        <w:rPr>
          <w:rFonts w:hint="eastAsia"/>
          <w:sz w:val="18"/>
          <w:szCs w:val="18"/>
        </w:rPr>
        <w:t>。</w:t>
      </w:r>
    </w:p>
  </w:footnote>
  <w:footnote w:id="27">
    <w:p w:rsidR="002A68E3" w:rsidRPr="005F25EA" w:rsidRDefault="002A68E3">
      <w:pPr>
        <w:pStyle w:val="aa"/>
        <w:rPr>
          <w:sz w:val="18"/>
        </w:rPr>
      </w:pPr>
      <w:r w:rsidRPr="005F25EA">
        <w:rPr>
          <w:rStyle w:val="ac"/>
          <w:sz w:val="18"/>
        </w:rPr>
        <w:footnoteRef/>
      </w:r>
      <w:r w:rsidRPr="005F25EA">
        <w:rPr>
          <w:sz w:val="18"/>
        </w:rPr>
        <w:t xml:space="preserve"> </w:t>
      </w:r>
      <w:r w:rsidRPr="005F25EA">
        <w:rPr>
          <w:rFonts w:hint="eastAsia"/>
          <w:sz w:val="18"/>
        </w:rPr>
        <w:t>2004</w:t>
      </w:r>
      <w:r w:rsidRPr="005F25EA">
        <w:rPr>
          <w:rFonts w:hint="eastAsia"/>
          <w:sz w:val="18"/>
        </w:rPr>
        <w:t>年にモロッコで始めてタンジェに</w:t>
      </w:r>
      <w:r>
        <w:rPr>
          <w:rFonts w:hint="eastAsia"/>
          <w:sz w:val="18"/>
        </w:rPr>
        <w:t>オフショア銀行</w:t>
      </w:r>
      <w:r w:rsidRPr="005F25EA">
        <w:rPr>
          <w:rFonts w:hint="eastAsia"/>
          <w:sz w:val="18"/>
        </w:rPr>
        <w:t>が誕生。タンジェ</w:t>
      </w:r>
      <w:r>
        <w:rPr>
          <w:rFonts w:hint="eastAsia"/>
          <w:sz w:val="18"/>
        </w:rPr>
        <w:t>・</w:t>
      </w:r>
      <w:r w:rsidRPr="005F25EA">
        <w:rPr>
          <w:rFonts w:hint="eastAsia"/>
          <w:sz w:val="18"/>
        </w:rPr>
        <w:t>フリーゾーンには、</w:t>
      </w:r>
      <w:r>
        <w:rPr>
          <w:rFonts w:hint="eastAsia"/>
          <w:sz w:val="18"/>
        </w:rPr>
        <w:t>オフショア</w:t>
      </w:r>
      <w:r w:rsidRPr="005F25EA">
        <w:rPr>
          <w:rFonts w:hint="eastAsia"/>
          <w:sz w:val="18"/>
        </w:rPr>
        <w:t>ゾーンが形成され、海外の銀行の</w:t>
      </w:r>
      <w:r>
        <w:rPr>
          <w:rFonts w:hint="eastAsia"/>
          <w:sz w:val="18"/>
        </w:rPr>
        <w:t>誘致に力を入れている</w:t>
      </w:r>
      <w:r w:rsidRPr="005F25EA">
        <w:rPr>
          <w:rFonts w:hint="eastAsia"/>
          <w:sz w:val="18"/>
        </w:rPr>
        <w:t>。</w:t>
      </w:r>
    </w:p>
  </w:footnote>
  <w:footnote w:id="28">
    <w:p w:rsidR="002A68E3" w:rsidRPr="00CA365D" w:rsidRDefault="002A68E3" w:rsidP="00602264">
      <w:pPr>
        <w:pStyle w:val="aa"/>
        <w:rPr>
          <w:sz w:val="18"/>
          <w:szCs w:val="18"/>
        </w:rPr>
      </w:pPr>
      <w:r w:rsidRPr="00CA365D">
        <w:rPr>
          <w:rStyle w:val="ac"/>
          <w:sz w:val="18"/>
          <w:szCs w:val="18"/>
        </w:rPr>
        <w:footnoteRef/>
      </w:r>
      <w:r w:rsidRPr="00CA365D">
        <w:rPr>
          <w:sz w:val="18"/>
          <w:szCs w:val="18"/>
        </w:rPr>
        <w:t xml:space="preserve"> </w:t>
      </w:r>
      <w:r w:rsidRPr="00CA365D">
        <w:rPr>
          <w:rFonts w:hint="eastAsia"/>
          <w:sz w:val="18"/>
          <w:szCs w:val="18"/>
        </w:rPr>
        <w:t>Bank Al-</w:t>
      </w:r>
      <w:proofErr w:type="spellStart"/>
      <w:r w:rsidRPr="00CA365D">
        <w:rPr>
          <w:rFonts w:hint="eastAsia"/>
          <w:sz w:val="18"/>
          <w:szCs w:val="18"/>
        </w:rPr>
        <w:t>Magrib</w:t>
      </w:r>
      <w:proofErr w:type="spellEnd"/>
      <w:r w:rsidRPr="00CA365D">
        <w:rPr>
          <w:rFonts w:hint="eastAsia"/>
          <w:sz w:val="18"/>
          <w:szCs w:val="18"/>
        </w:rPr>
        <w:t xml:space="preserve"> (2008)</w:t>
      </w:r>
      <w:r w:rsidRPr="00CA365D">
        <w:rPr>
          <w:rFonts w:hint="eastAsia"/>
          <w:sz w:val="18"/>
          <w:szCs w:val="18"/>
        </w:rPr>
        <w:t>。</w:t>
      </w:r>
    </w:p>
  </w:footnote>
  <w:footnote w:id="29">
    <w:p w:rsidR="002A68E3" w:rsidRPr="00CA365D" w:rsidRDefault="002A68E3">
      <w:pPr>
        <w:pStyle w:val="aa"/>
        <w:rPr>
          <w:sz w:val="18"/>
          <w:szCs w:val="18"/>
        </w:rPr>
      </w:pPr>
      <w:r w:rsidRPr="00CA365D">
        <w:rPr>
          <w:rStyle w:val="ac"/>
          <w:sz w:val="18"/>
          <w:szCs w:val="18"/>
        </w:rPr>
        <w:footnoteRef/>
      </w:r>
      <w:r w:rsidRPr="00CA365D">
        <w:rPr>
          <w:sz w:val="18"/>
          <w:szCs w:val="18"/>
        </w:rPr>
        <w:t xml:space="preserve"> </w:t>
      </w:r>
      <w:r w:rsidRPr="00CA365D">
        <w:rPr>
          <w:rFonts w:hint="eastAsia"/>
          <w:sz w:val="18"/>
          <w:szCs w:val="18"/>
        </w:rPr>
        <w:t>Bank Al-</w:t>
      </w:r>
      <w:proofErr w:type="spellStart"/>
      <w:r w:rsidRPr="00CA365D">
        <w:rPr>
          <w:rFonts w:hint="eastAsia"/>
          <w:sz w:val="18"/>
          <w:szCs w:val="18"/>
        </w:rPr>
        <w:t>Magrib</w:t>
      </w:r>
      <w:proofErr w:type="spellEnd"/>
      <w:r w:rsidRPr="00CA365D">
        <w:rPr>
          <w:rFonts w:hint="eastAsia"/>
          <w:sz w:val="18"/>
          <w:szCs w:val="18"/>
        </w:rPr>
        <w:t xml:space="preserve"> (2008),p.51</w:t>
      </w:r>
      <w:r w:rsidRPr="00CA365D">
        <w:rPr>
          <w:rFonts w:hint="eastAsia"/>
          <w:sz w:val="18"/>
          <w:szCs w:val="18"/>
        </w:rPr>
        <w:t>。</w:t>
      </w:r>
    </w:p>
  </w:footnote>
  <w:footnote w:id="30">
    <w:p w:rsidR="002A68E3" w:rsidRPr="00CA365D" w:rsidRDefault="002A68E3">
      <w:pPr>
        <w:pStyle w:val="aa"/>
        <w:rPr>
          <w:sz w:val="18"/>
          <w:szCs w:val="18"/>
        </w:rPr>
      </w:pPr>
      <w:r w:rsidRPr="00CA365D">
        <w:rPr>
          <w:rStyle w:val="ac"/>
          <w:sz w:val="18"/>
          <w:szCs w:val="18"/>
        </w:rPr>
        <w:footnoteRef/>
      </w:r>
      <w:r w:rsidRPr="00CA365D">
        <w:rPr>
          <w:sz w:val="18"/>
          <w:szCs w:val="18"/>
        </w:rPr>
        <w:t xml:space="preserve"> </w:t>
      </w:r>
      <w:r w:rsidRPr="00CA365D">
        <w:rPr>
          <w:rFonts w:hint="eastAsia"/>
          <w:sz w:val="18"/>
          <w:szCs w:val="18"/>
        </w:rPr>
        <w:t>モロッコ郵政公社の</w:t>
      </w:r>
      <w:r w:rsidRPr="00CA365D">
        <w:rPr>
          <w:rFonts w:hint="eastAsia"/>
          <w:sz w:val="18"/>
          <w:szCs w:val="18"/>
        </w:rPr>
        <w:t>887</w:t>
      </w:r>
      <w:r w:rsidRPr="00CA365D">
        <w:rPr>
          <w:rFonts w:hint="eastAsia"/>
          <w:sz w:val="18"/>
          <w:szCs w:val="18"/>
        </w:rPr>
        <w:t>支店を含む。</w:t>
      </w:r>
      <w:r>
        <w:rPr>
          <w:rFonts w:hint="eastAsia"/>
          <w:sz w:val="18"/>
          <w:szCs w:val="18"/>
        </w:rPr>
        <w:t>しかし、支店のほとんどがカサブランカやラバトなどの都市に集中しており、地方でのリテール業務の拡大が今後の課題である。</w:t>
      </w:r>
      <w:r w:rsidRPr="00CA365D">
        <w:rPr>
          <w:rFonts w:hint="eastAsia"/>
          <w:sz w:val="18"/>
          <w:szCs w:val="18"/>
        </w:rPr>
        <w:t>Bank Al-</w:t>
      </w:r>
      <w:proofErr w:type="spellStart"/>
      <w:r w:rsidRPr="00CA365D">
        <w:rPr>
          <w:rFonts w:hint="eastAsia"/>
          <w:sz w:val="18"/>
          <w:szCs w:val="18"/>
        </w:rPr>
        <w:t>Magrib</w:t>
      </w:r>
      <w:proofErr w:type="spellEnd"/>
      <w:r w:rsidRPr="00CA365D">
        <w:rPr>
          <w:rFonts w:hint="eastAsia"/>
          <w:sz w:val="18"/>
          <w:szCs w:val="18"/>
        </w:rPr>
        <w:t xml:space="preserve">, </w:t>
      </w:r>
      <w:r w:rsidRPr="00DC3274">
        <w:rPr>
          <w:rFonts w:hint="eastAsia"/>
          <w:i/>
          <w:sz w:val="18"/>
          <w:szCs w:val="18"/>
        </w:rPr>
        <w:t xml:space="preserve">Rapport </w:t>
      </w:r>
      <w:proofErr w:type="spellStart"/>
      <w:r w:rsidRPr="00DC3274">
        <w:rPr>
          <w:rFonts w:hint="eastAsia"/>
          <w:i/>
          <w:sz w:val="18"/>
          <w:szCs w:val="18"/>
        </w:rPr>
        <w:t>Annue</w:t>
      </w:r>
      <w:r w:rsidRPr="00CA365D">
        <w:rPr>
          <w:rFonts w:hint="eastAsia"/>
          <w:sz w:val="18"/>
          <w:szCs w:val="18"/>
        </w:rPr>
        <w:t>l</w:t>
      </w:r>
      <w:proofErr w:type="spellEnd"/>
      <w:r w:rsidRPr="00CA365D">
        <w:rPr>
          <w:rFonts w:hint="eastAsia"/>
          <w:sz w:val="18"/>
          <w:szCs w:val="18"/>
        </w:rPr>
        <w:t>より。</w:t>
      </w:r>
    </w:p>
  </w:footnote>
  <w:footnote w:id="31">
    <w:p w:rsidR="002A68E3" w:rsidRDefault="002A68E3">
      <w:pPr>
        <w:pStyle w:val="aa"/>
      </w:pPr>
      <w:r>
        <w:rPr>
          <w:rStyle w:val="ac"/>
        </w:rPr>
        <w:footnoteRef/>
      </w:r>
      <w:r>
        <w:t xml:space="preserve"> </w:t>
      </w:r>
      <w:r>
        <w:rPr>
          <w:rFonts w:hint="eastAsia"/>
        </w:rPr>
        <w:t>The Banker, various issues</w:t>
      </w:r>
      <w:r>
        <w:rPr>
          <w:rFonts w:hint="eastAsia"/>
        </w:rPr>
        <w:t>より。</w:t>
      </w:r>
    </w:p>
  </w:footnote>
  <w:footnote w:id="32">
    <w:p w:rsidR="002A68E3" w:rsidRDefault="002A68E3">
      <w:pPr>
        <w:pStyle w:val="aa"/>
      </w:pPr>
      <w:r>
        <w:rPr>
          <w:rStyle w:val="ac"/>
        </w:rPr>
        <w:footnoteRef/>
      </w:r>
      <w:r>
        <w:t xml:space="preserve"> </w:t>
      </w:r>
      <w:r w:rsidRPr="00CA365D">
        <w:rPr>
          <w:rFonts w:hint="eastAsia"/>
          <w:sz w:val="18"/>
          <w:szCs w:val="18"/>
        </w:rPr>
        <w:t>Bank Al-</w:t>
      </w:r>
      <w:proofErr w:type="spellStart"/>
      <w:r w:rsidRPr="00CA365D">
        <w:rPr>
          <w:rFonts w:hint="eastAsia"/>
          <w:sz w:val="18"/>
          <w:szCs w:val="18"/>
        </w:rPr>
        <w:t>Magrib</w:t>
      </w:r>
      <w:proofErr w:type="spellEnd"/>
      <w:r>
        <w:rPr>
          <w:rFonts w:hint="eastAsia"/>
          <w:i/>
          <w:sz w:val="18"/>
          <w:szCs w:val="18"/>
        </w:rPr>
        <w:t xml:space="preserve">, </w:t>
      </w:r>
      <w:r w:rsidRPr="00DC3274">
        <w:rPr>
          <w:rFonts w:hint="eastAsia"/>
          <w:i/>
          <w:sz w:val="18"/>
          <w:szCs w:val="18"/>
        </w:rPr>
        <w:t xml:space="preserve">Rapport </w:t>
      </w:r>
      <w:proofErr w:type="spellStart"/>
      <w:r w:rsidRPr="00DC3274">
        <w:rPr>
          <w:rFonts w:hint="eastAsia"/>
          <w:i/>
          <w:sz w:val="18"/>
          <w:szCs w:val="18"/>
        </w:rPr>
        <w:t>Annue</w:t>
      </w:r>
      <w:r w:rsidRPr="00CA365D">
        <w:rPr>
          <w:rFonts w:hint="eastAsia"/>
          <w:sz w:val="18"/>
          <w:szCs w:val="18"/>
        </w:rPr>
        <w:t>l</w:t>
      </w:r>
      <w:proofErr w:type="spellEnd"/>
      <w:r>
        <w:rPr>
          <w:rFonts w:hint="eastAsia"/>
          <w:sz w:val="18"/>
          <w:szCs w:val="18"/>
        </w:rPr>
        <w:t xml:space="preserve">, </w:t>
      </w:r>
      <w:proofErr w:type="spellStart"/>
      <w:r w:rsidRPr="00764ECC">
        <w:t>plusieurs</w:t>
      </w:r>
      <w:proofErr w:type="spellEnd"/>
      <w:r w:rsidRPr="00764ECC">
        <w:t xml:space="preserve"> </w:t>
      </w:r>
      <w:proofErr w:type="spellStart"/>
      <w:r w:rsidRPr="00764ECC">
        <w:t>années</w:t>
      </w:r>
      <w:proofErr w:type="spellEnd"/>
      <w:r>
        <w:rPr>
          <w:rFonts w:hint="eastAsia"/>
        </w:rPr>
        <w:t>より。</w:t>
      </w:r>
    </w:p>
  </w:footnote>
  <w:footnote w:id="33">
    <w:p w:rsidR="002A68E3" w:rsidRPr="00351F39" w:rsidRDefault="002A68E3">
      <w:pPr>
        <w:pStyle w:val="aa"/>
        <w:rPr>
          <w:sz w:val="18"/>
          <w:szCs w:val="18"/>
        </w:rPr>
      </w:pPr>
      <w:r w:rsidRPr="006F2116">
        <w:rPr>
          <w:rStyle w:val="ac"/>
          <w:sz w:val="18"/>
          <w:szCs w:val="18"/>
        </w:rPr>
        <w:footnoteRef/>
      </w:r>
      <w:r w:rsidRPr="006F2116">
        <w:rPr>
          <w:sz w:val="18"/>
          <w:szCs w:val="18"/>
        </w:rPr>
        <w:t xml:space="preserve"> </w:t>
      </w:r>
      <w:r w:rsidRPr="006F2116">
        <w:rPr>
          <w:rFonts w:hint="eastAsia"/>
          <w:sz w:val="18"/>
          <w:szCs w:val="18"/>
        </w:rPr>
        <w:t>The Banker, various issues</w:t>
      </w:r>
      <w:r w:rsidRPr="006F2116">
        <w:rPr>
          <w:rFonts w:hint="eastAsia"/>
          <w:sz w:val="18"/>
          <w:szCs w:val="18"/>
        </w:rPr>
        <w:t>より。</w:t>
      </w:r>
    </w:p>
  </w:footnote>
  <w:footnote w:id="34">
    <w:p w:rsidR="002A68E3" w:rsidRPr="00351F39" w:rsidRDefault="002A68E3">
      <w:pPr>
        <w:pStyle w:val="aa"/>
        <w:rPr>
          <w:sz w:val="18"/>
          <w:szCs w:val="18"/>
        </w:rPr>
      </w:pPr>
      <w:r w:rsidRPr="00351F39">
        <w:rPr>
          <w:rStyle w:val="ac"/>
          <w:sz w:val="18"/>
          <w:szCs w:val="18"/>
        </w:rPr>
        <w:footnoteRef/>
      </w:r>
      <w:r w:rsidRPr="00351F39">
        <w:rPr>
          <w:sz w:val="18"/>
          <w:szCs w:val="18"/>
        </w:rPr>
        <w:t xml:space="preserve"> </w:t>
      </w:r>
      <w:proofErr w:type="spellStart"/>
      <w:r w:rsidRPr="00351F39">
        <w:rPr>
          <w:rFonts w:hint="eastAsia"/>
          <w:sz w:val="18"/>
          <w:szCs w:val="18"/>
        </w:rPr>
        <w:t>Crédit</w:t>
      </w:r>
      <w:proofErr w:type="spellEnd"/>
      <w:r w:rsidRPr="00351F39">
        <w:rPr>
          <w:rFonts w:hint="eastAsia"/>
          <w:sz w:val="18"/>
          <w:szCs w:val="18"/>
        </w:rPr>
        <w:t xml:space="preserve"> du </w:t>
      </w:r>
      <w:proofErr w:type="spellStart"/>
      <w:r w:rsidRPr="00351F39">
        <w:rPr>
          <w:rFonts w:hint="eastAsia"/>
          <w:sz w:val="18"/>
          <w:szCs w:val="18"/>
        </w:rPr>
        <w:t>Maroc</w:t>
      </w:r>
      <w:proofErr w:type="spellEnd"/>
      <w:r w:rsidRPr="00351F39">
        <w:rPr>
          <w:rFonts w:hint="eastAsia"/>
          <w:sz w:val="18"/>
          <w:szCs w:val="18"/>
        </w:rPr>
        <w:t>の</w:t>
      </w:r>
      <w:r w:rsidRPr="00351F39">
        <w:rPr>
          <w:rFonts w:hint="eastAsia"/>
          <w:sz w:val="18"/>
          <w:szCs w:val="18"/>
        </w:rPr>
        <w:t>HP</w:t>
      </w:r>
      <w:r w:rsidRPr="00351F39">
        <w:rPr>
          <w:rFonts w:hint="eastAsia"/>
          <w:sz w:val="18"/>
          <w:szCs w:val="18"/>
        </w:rPr>
        <w:t>、広報資料より。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6D2"/>
    <w:multiLevelType w:val="hybridMultilevel"/>
    <w:tmpl w:val="A01CFEC4"/>
    <w:lvl w:ilvl="0" w:tplc="E2265A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A57CB7"/>
    <w:multiLevelType w:val="hybridMultilevel"/>
    <w:tmpl w:val="56EC29A0"/>
    <w:lvl w:ilvl="0" w:tplc="3BE42E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710E59"/>
    <w:multiLevelType w:val="hybridMultilevel"/>
    <w:tmpl w:val="21A28E22"/>
    <w:lvl w:ilvl="0" w:tplc="9DC2B910">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BB76F6C"/>
    <w:multiLevelType w:val="hybridMultilevel"/>
    <w:tmpl w:val="0F848DEA"/>
    <w:lvl w:ilvl="0" w:tplc="9A8ED2F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877ED4"/>
    <w:multiLevelType w:val="hybridMultilevel"/>
    <w:tmpl w:val="A3A8F5C0"/>
    <w:lvl w:ilvl="0" w:tplc="E922537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25473E6A"/>
    <w:multiLevelType w:val="hybridMultilevel"/>
    <w:tmpl w:val="8C40E6EE"/>
    <w:lvl w:ilvl="0" w:tplc="FE0A4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216BC6"/>
    <w:multiLevelType w:val="hybridMultilevel"/>
    <w:tmpl w:val="C59A49B2"/>
    <w:lvl w:ilvl="0" w:tplc="82265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1A15E5"/>
    <w:multiLevelType w:val="hybridMultilevel"/>
    <w:tmpl w:val="BF8607A2"/>
    <w:lvl w:ilvl="0" w:tplc="FDFC6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B03A7E"/>
    <w:multiLevelType w:val="hybridMultilevel"/>
    <w:tmpl w:val="19EA696E"/>
    <w:lvl w:ilvl="0" w:tplc="B47EE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2B48AF"/>
    <w:multiLevelType w:val="hybridMultilevel"/>
    <w:tmpl w:val="0B566388"/>
    <w:lvl w:ilvl="0" w:tplc="26ACF65A">
      <w:start w:val="1"/>
      <w:numFmt w:val="decimal"/>
      <w:lvlText w:val="%1)"/>
      <w:lvlJc w:val="left"/>
      <w:pPr>
        <w:ind w:left="1200" w:hanging="360"/>
      </w:pPr>
      <w:rPr>
        <w:rFonts w:hint="default"/>
      </w:rPr>
    </w:lvl>
    <w:lvl w:ilvl="1" w:tplc="AEE662A2">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48871FC1"/>
    <w:multiLevelType w:val="hybridMultilevel"/>
    <w:tmpl w:val="CF3851B0"/>
    <w:lvl w:ilvl="0" w:tplc="90E4DDBA">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nsid w:val="523B5F35"/>
    <w:multiLevelType w:val="hybridMultilevel"/>
    <w:tmpl w:val="A790B1C4"/>
    <w:lvl w:ilvl="0" w:tplc="EFCA9CE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A01A1E"/>
    <w:multiLevelType w:val="hybridMultilevel"/>
    <w:tmpl w:val="39BA013E"/>
    <w:lvl w:ilvl="0" w:tplc="AF06ED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24B101A"/>
    <w:multiLevelType w:val="hybridMultilevel"/>
    <w:tmpl w:val="9A369BCE"/>
    <w:lvl w:ilvl="0" w:tplc="40C662E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67097E87"/>
    <w:multiLevelType w:val="hybridMultilevel"/>
    <w:tmpl w:val="377C2126"/>
    <w:lvl w:ilvl="0" w:tplc="D8E43AE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6FB94AD2"/>
    <w:multiLevelType w:val="hybridMultilevel"/>
    <w:tmpl w:val="7D4A0888"/>
    <w:lvl w:ilvl="0" w:tplc="0CBE254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74AA6C4B"/>
    <w:multiLevelType w:val="hybridMultilevel"/>
    <w:tmpl w:val="1A28D2C4"/>
    <w:lvl w:ilvl="0" w:tplc="3118DB0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7752637D"/>
    <w:multiLevelType w:val="hybridMultilevel"/>
    <w:tmpl w:val="DC309630"/>
    <w:lvl w:ilvl="0" w:tplc="5F1AC9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5"/>
  </w:num>
  <w:num w:numId="4">
    <w:abstractNumId w:val="4"/>
  </w:num>
  <w:num w:numId="5">
    <w:abstractNumId w:val="8"/>
  </w:num>
  <w:num w:numId="6">
    <w:abstractNumId w:val="7"/>
  </w:num>
  <w:num w:numId="7">
    <w:abstractNumId w:val="1"/>
  </w:num>
  <w:num w:numId="8">
    <w:abstractNumId w:val="13"/>
  </w:num>
  <w:num w:numId="9">
    <w:abstractNumId w:val="14"/>
  </w:num>
  <w:num w:numId="10">
    <w:abstractNumId w:val="6"/>
  </w:num>
  <w:num w:numId="11">
    <w:abstractNumId w:val="15"/>
  </w:num>
  <w:num w:numId="12">
    <w:abstractNumId w:val="2"/>
  </w:num>
  <w:num w:numId="13">
    <w:abstractNumId w:val="9"/>
  </w:num>
  <w:num w:numId="14">
    <w:abstractNumId w:val="10"/>
  </w:num>
  <w:num w:numId="15">
    <w:abstractNumId w:val="0"/>
  </w:num>
  <w:num w:numId="16">
    <w:abstractNumId w:val="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75"/>
    <w:rsid w:val="00000568"/>
    <w:rsid w:val="000054E0"/>
    <w:rsid w:val="00011E15"/>
    <w:rsid w:val="00013531"/>
    <w:rsid w:val="0001678F"/>
    <w:rsid w:val="00042CCF"/>
    <w:rsid w:val="00043671"/>
    <w:rsid w:val="0006774F"/>
    <w:rsid w:val="000706A5"/>
    <w:rsid w:val="00093493"/>
    <w:rsid w:val="000943A5"/>
    <w:rsid w:val="000A3AB8"/>
    <w:rsid w:val="000A4181"/>
    <w:rsid w:val="000B1382"/>
    <w:rsid w:val="000D3867"/>
    <w:rsid w:val="000D49FB"/>
    <w:rsid w:val="000E12A6"/>
    <w:rsid w:val="000E3994"/>
    <w:rsid w:val="0010303B"/>
    <w:rsid w:val="001052A4"/>
    <w:rsid w:val="00121742"/>
    <w:rsid w:val="00134B7D"/>
    <w:rsid w:val="001445EE"/>
    <w:rsid w:val="00147AAA"/>
    <w:rsid w:val="00150D1A"/>
    <w:rsid w:val="00163A89"/>
    <w:rsid w:val="0017709F"/>
    <w:rsid w:val="001849AA"/>
    <w:rsid w:val="00186350"/>
    <w:rsid w:val="00196D6B"/>
    <w:rsid w:val="001B20F6"/>
    <w:rsid w:val="001B42EE"/>
    <w:rsid w:val="001C1E5C"/>
    <w:rsid w:val="001C7264"/>
    <w:rsid w:val="001D2B0D"/>
    <w:rsid w:val="001E1959"/>
    <w:rsid w:val="001E1AA6"/>
    <w:rsid w:val="001E23CE"/>
    <w:rsid w:val="001E40DF"/>
    <w:rsid w:val="001E430E"/>
    <w:rsid w:val="001E5832"/>
    <w:rsid w:val="001E6D01"/>
    <w:rsid w:val="00201B18"/>
    <w:rsid w:val="00201CA5"/>
    <w:rsid w:val="00210542"/>
    <w:rsid w:val="00226826"/>
    <w:rsid w:val="00226B90"/>
    <w:rsid w:val="002274A4"/>
    <w:rsid w:val="0023543C"/>
    <w:rsid w:val="00244BC0"/>
    <w:rsid w:val="002555EC"/>
    <w:rsid w:val="00274D2A"/>
    <w:rsid w:val="00275972"/>
    <w:rsid w:val="00282D00"/>
    <w:rsid w:val="00285C69"/>
    <w:rsid w:val="002924A5"/>
    <w:rsid w:val="002950B8"/>
    <w:rsid w:val="002A1B6E"/>
    <w:rsid w:val="002A63EA"/>
    <w:rsid w:val="002A68E3"/>
    <w:rsid w:val="002C10F6"/>
    <w:rsid w:val="002C7CCC"/>
    <w:rsid w:val="002D2F68"/>
    <w:rsid w:val="002E4C87"/>
    <w:rsid w:val="002F0188"/>
    <w:rsid w:val="002F6AFF"/>
    <w:rsid w:val="0031044D"/>
    <w:rsid w:val="00320076"/>
    <w:rsid w:val="003241D8"/>
    <w:rsid w:val="003407AE"/>
    <w:rsid w:val="003436B0"/>
    <w:rsid w:val="00351F39"/>
    <w:rsid w:val="003534DC"/>
    <w:rsid w:val="00365947"/>
    <w:rsid w:val="00371EF1"/>
    <w:rsid w:val="00377B71"/>
    <w:rsid w:val="00387765"/>
    <w:rsid w:val="0039189C"/>
    <w:rsid w:val="003960DD"/>
    <w:rsid w:val="00397B57"/>
    <w:rsid w:val="003B4937"/>
    <w:rsid w:val="003B52CC"/>
    <w:rsid w:val="003B6BCD"/>
    <w:rsid w:val="003C285D"/>
    <w:rsid w:val="003D1567"/>
    <w:rsid w:val="003F0EAF"/>
    <w:rsid w:val="003F1E75"/>
    <w:rsid w:val="003F4AA9"/>
    <w:rsid w:val="003F68B0"/>
    <w:rsid w:val="00400558"/>
    <w:rsid w:val="00407F04"/>
    <w:rsid w:val="004179B0"/>
    <w:rsid w:val="00417B14"/>
    <w:rsid w:val="00424765"/>
    <w:rsid w:val="00440437"/>
    <w:rsid w:val="00454694"/>
    <w:rsid w:val="00472D3F"/>
    <w:rsid w:val="00473ABD"/>
    <w:rsid w:val="004743A8"/>
    <w:rsid w:val="0049017E"/>
    <w:rsid w:val="004C06C6"/>
    <w:rsid w:val="004C1210"/>
    <w:rsid w:val="004D313E"/>
    <w:rsid w:val="004D6B8B"/>
    <w:rsid w:val="004E790A"/>
    <w:rsid w:val="005026BA"/>
    <w:rsid w:val="005039B6"/>
    <w:rsid w:val="0050673E"/>
    <w:rsid w:val="0051117A"/>
    <w:rsid w:val="00537EF0"/>
    <w:rsid w:val="005559E5"/>
    <w:rsid w:val="005565D0"/>
    <w:rsid w:val="0055771E"/>
    <w:rsid w:val="00591048"/>
    <w:rsid w:val="005A2A73"/>
    <w:rsid w:val="005A31B4"/>
    <w:rsid w:val="005B1CC0"/>
    <w:rsid w:val="005B2D49"/>
    <w:rsid w:val="005C304A"/>
    <w:rsid w:val="005D3850"/>
    <w:rsid w:val="005E3148"/>
    <w:rsid w:val="005E38E1"/>
    <w:rsid w:val="005E4937"/>
    <w:rsid w:val="005F25EA"/>
    <w:rsid w:val="005F3F3E"/>
    <w:rsid w:val="00602264"/>
    <w:rsid w:val="00603FF2"/>
    <w:rsid w:val="00605921"/>
    <w:rsid w:val="00606014"/>
    <w:rsid w:val="006368E4"/>
    <w:rsid w:val="006555B5"/>
    <w:rsid w:val="00655622"/>
    <w:rsid w:val="00673217"/>
    <w:rsid w:val="006849FB"/>
    <w:rsid w:val="0069122A"/>
    <w:rsid w:val="00692414"/>
    <w:rsid w:val="00693430"/>
    <w:rsid w:val="006A28D4"/>
    <w:rsid w:val="006A3829"/>
    <w:rsid w:val="006A5AC0"/>
    <w:rsid w:val="006B3C0C"/>
    <w:rsid w:val="006B7954"/>
    <w:rsid w:val="006E0BBE"/>
    <w:rsid w:val="006E7964"/>
    <w:rsid w:val="006F00EE"/>
    <w:rsid w:val="006F2116"/>
    <w:rsid w:val="0070790D"/>
    <w:rsid w:val="0073074C"/>
    <w:rsid w:val="007359DE"/>
    <w:rsid w:val="0074319A"/>
    <w:rsid w:val="00744566"/>
    <w:rsid w:val="007456F2"/>
    <w:rsid w:val="00751757"/>
    <w:rsid w:val="00757EB6"/>
    <w:rsid w:val="00764ECC"/>
    <w:rsid w:val="00770C58"/>
    <w:rsid w:val="00772F43"/>
    <w:rsid w:val="00774237"/>
    <w:rsid w:val="00787726"/>
    <w:rsid w:val="00797A98"/>
    <w:rsid w:val="007B1698"/>
    <w:rsid w:val="007B3C57"/>
    <w:rsid w:val="007B79FF"/>
    <w:rsid w:val="007C46DF"/>
    <w:rsid w:val="007C713F"/>
    <w:rsid w:val="007D2AFD"/>
    <w:rsid w:val="007E3583"/>
    <w:rsid w:val="008051D1"/>
    <w:rsid w:val="00823C8F"/>
    <w:rsid w:val="00824304"/>
    <w:rsid w:val="00824A08"/>
    <w:rsid w:val="00825B55"/>
    <w:rsid w:val="008401F5"/>
    <w:rsid w:val="00840706"/>
    <w:rsid w:val="00841308"/>
    <w:rsid w:val="008475D7"/>
    <w:rsid w:val="0085759C"/>
    <w:rsid w:val="00872B1D"/>
    <w:rsid w:val="00881ED8"/>
    <w:rsid w:val="00884A5E"/>
    <w:rsid w:val="00885A1F"/>
    <w:rsid w:val="00895261"/>
    <w:rsid w:val="008A1C75"/>
    <w:rsid w:val="008B168B"/>
    <w:rsid w:val="008B5B98"/>
    <w:rsid w:val="008C71EC"/>
    <w:rsid w:val="008E3885"/>
    <w:rsid w:val="008E7FF1"/>
    <w:rsid w:val="008F4951"/>
    <w:rsid w:val="00901368"/>
    <w:rsid w:val="0091353D"/>
    <w:rsid w:val="00914C1B"/>
    <w:rsid w:val="0091533B"/>
    <w:rsid w:val="009243E3"/>
    <w:rsid w:val="0092737C"/>
    <w:rsid w:val="00935EBF"/>
    <w:rsid w:val="009365CD"/>
    <w:rsid w:val="00940C1B"/>
    <w:rsid w:val="0095382A"/>
    <w:rsid w:val="009605DA"/>
    <w:rsid w:val="00965194"/>
    <w:rsid w:val="00980800"/>
    <w:rsid w:val="00983B9D"/>
    <w:rsid w:val="0098403D"/>
    <w:rsid w:val="00984156"/>
    <w:rsid w:val="00987060"/>
    <w:rsid w:val="009931D2"/>
    <w:rsid w:val="009A045A"/>
    <w:rsid w:val="009A1789"/>
    <w:rsid w:val="009A2A25"/>
    <w:rsid w:val="009A515D"/>
    <w:rsid w:val="009A5907"/>
    <w:rsid w:val="009B6989"/>
    <w:rsid w:val="009C3F9B"/>
    <w:rsid w:val="009D1A97"/>
    <w:rsid w:val="009D7802"/>
    <w:rsid w:val="00A27AF5"/>
    <w:rsid w:val="00A30C42"/>
    <w:rsid w:val="00A509C6"/>
    <w:rsid w:val="00A72B27"/>
    <w:rsid w:val="00A7459A"/>
    <w:rsid w:val="00A90B49"/>
    <w:rsid w:val="00A95E31"/>
    <w:rsid w:val="00AA4B95"/>
    <w:rsid w:val="00AB1D71"/>
    <w:rsid w:val="00AD02BC"/>
    <w:rsid w:val="00AD7086"/>
    <w:rsid w:val="00AD7E45"/>
    <w:rsid w:val="00AE2925"/>
    <w:rsid w:val="00AE2FDD"/>
    <w:rsid w:val="00AF3876"/>
    <w:rsid w:val="00AF6C7D"/>
    <w:rsid w:val="00B00985"/>
    <w:rsid w:val="00B129DC"/>
    <w:rsid w:val="00B20FA6"/>
    <w:rsid w:val="00B231EF"/>
    <w:rsid w:val="00B40E6A"/>
    <w:rsid w:val="00B44E2F"/>
    <w:rsid w:val="00B53553"/>
    <w:rsid w:val="00B6057E"/>
    <w:rsid w:val="00B62062"/>
    <w:rsid w:val="00B643CC"/>
    <w:rsid w:val="00B7102B"/>
    <w:rsid w:val="00BA2C85"/>
    <w:rsid w:val="00BB61BD"/>
    <w:rsid w:val="00BC01BE"/>
    <w:rsid w:val="00BC3E60"/>
    <w:rsid w:val="00BC57B1"/>
    <w:rsid w:val="00BD6E84"/>
    <w:rsid w:val="00BE0A97"/>
    <w:rsid w:val="00BE21AF"/>
    <w:rsid w:val="00BF4139"/>
    <w:rsid w:val="00BF7262"/>
    <w:rsid w:val="00C00A0D"/>
    <w:rsid w:val="00C26C94"/>
    <w:rsid w:val="00C3000F"/>
    <w:rsid w:val="00C30806"/>
    <w:rsid w:val="00C326CF"/>
    <w:rsid w:val="00C4080B"/>
    <w:rsid w:val="00C42274"/>
    <w:rsid w:val="00C42D4C"/>
    <w:rsid w:val="00C5712C"/>
    <w:rsid w:val="00C6050F"/>
    <w:rsid w:val="00C67B0A"/>
    <w:rsid w:val="00C742B0"/>
    <w:rsid w:val="00C7727D"/>
    <w:rsid w:val="00C80B55"/>
    <w:rsid w:val="00C862E6"/>
    <w:rsid w:val="00C877AE"/>
    <w:rsid w:val="00CA276A"/>
    <w:rsid w:val="00CA365D"/>
    <w:rsid w:val="00CA57F6"/>
    <w:rsid w:val="00CA62B7"/>
    <w:rsid w:val="00CC304D"/>
    <w:rsid w:val="00CC71B8"/>
    <w:rsid w:val="00CD1E48"/>
    <w:rsid w:val="00CD5BCB"/>
    <w:rsid w:val="00CD5D37"/>
    <w:rsid w:val="00CE1B2C"/>
    <w:rsid w:val="00CE3B72"/>
    <w:rsid w:val="00CF0FB5"/>
    <w:rsid w:val="00CF1C43"/>
    <w:rsid w:val="00CF2460"/>
    <w:rsid w:val="00CF35B5"/>
    <w:rsid w:val="00D04037"/>
    <w:rsid w:val="00D06415"/>
    <w:rsid w:val="00D40A81"/>
    <w:rsid w:val="00D437AB"/>
    <w:rsid w:val="00D465D5"/>
    <w:rsid w:val="00D5270E"/>
    <w:rsid w:val="00D64776"/>
    <w:rsid w:val="00D67740"/>
    <w:rsid w:val="00D86464"/>
    <w:rsid w:val="00D950CF"/>
    <w:rsid w:val="00DA1984"/>
    <w:rsid w:val="00DC3274"/>
    <w:rsid w:val="00DC4CB7"/>
    <w:rsid w:val="00DD2B3B"/>
    <w:rsid w:val="00DD3595"/>
    <w:rsid w:val="00DD5864"/>
    <w:rsid w:val="00DD626E"/>
    <w:rsid w:val="00DD66DF"/>
    <w:rsid w:val="00DE4B67"/>
    <w:rsid w:val="00DE5117"/>
    <w:rsid w:val="00E0426E"/>
    <w:rsid w:val="00E06AFC"/>
    <w:rsid w:val="00E072BA"/>
    <w:rsid w:val="00E2703C"/>
    <w:rsid w:val="00E30A94"/>
    <w:rsid w:val="00E318AC"/>
    <w:rsid w:val="00E40175"/>
    <w:rsid w:val="00E462EC"/>
    <w:rsid w:val="00E54A3B"/>
    <w:rsid w:val="00E56894"/>
    <w:rsid w:val="00E6766B"/>
    <w:rsid w:val="00E67BC1"/>
    <w:rsid w:val="00E86799"/>
    <w:rsid w:val="00E86A06"/>
    <w:rsid w:val="00E947BF"/>
    <w:rsid w:val="00E95BDC"/>
    <w:rsid w:val="00EA2CC8"/>
    <w:rsid w:val="00EA630F"/>
    <w:rsid w:val="00EB113D"/>
    <w:rsid w:val="00EB29CE"/>
    <w:rsid w:val="00EB47C0"/>
    <w:rsid w:val="00EE1B4E"/>
    <w:rsid w:val="00EE6D4F"/>
    <w:rsid w:val="00EF0E91"/>
    <w:rsid w:val="00F0204E"/>
    <w:rsid w:val="00F211FE"/>
    <w:rsid w:val="00F266EA"/>
    <w:rsid w:val="00F32246"/>
    <w:rsid w:val="00F40D92"/>
    <w:rsid w:val="00F41BE4"/>
    <w:rsid w:val="00F51D70"/>
    <w:rsid w:val="00F550C4"/>
    <w:rsid w:val="00F60120"/>
    <w:rsid w:val="00F60657"/>
    <w:rsid w:val="00F60856"/>
    <w:rsid w:val="00F61A23"/>
    <w:rsid w:val="00F671B8"/>
    <w:rsid w:val="00F82EA7"/>
    <w:rsid w:val="00F8622C"/>
    <w:rsid w:val="00F97412"/>
    <w:rsid w:val="00F97C61"/>
    <w:rsid w:val="00FD21E3"/>
    <w:rsid w:val="00FD64E3"/>
    <w:rsid w:val="00FE462E"/>
    <w:rsid w:val="00FF1359"/>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475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5D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D21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1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0175"/>
    <w:rPr>
      <w:rFonts w:asciiTheme="majorHAnsi" w:eastAsiaTheme="majorEastAsia" w:hAnsiTheme="majorHAnsi" w:cstheme="majorBidi"/>
      <w:sz w:val="18"/>
      <w:szCs w:val="18"/>
    </w:rPr>
  </w:style>
  <w:style w:type="paragraph" w:styleId="a5">
    <w:name w:val="header"/>
    <w:basedOn w:val="a"/>
    <w:link w:val="a6"/>
    <w:uiPriority w:val="99"/>
    <w:unhideWhenUsed/>
    <w:rsid w:val="008475D7"/>
    <w:pPr>
      <w:tabs>
        <w:tab w:val="center" w:pos="4252"/>
        <w:tab w:val="right" w:pos="8504"/>
      </w:tabs>
      <w:snapToGrid w:val="0"/>
    </w:pPr>
  </w:style>
  <w:style w:type="character" w:customStyle="1" w:styleId="a6">
    <w:name w:val="ヘッダー (文字)"/>
    <w:basedOn w:val="a0"/>
    <w:link w:val="a5"/>
    <w:uiPriority w:val="99"/>
    <w:rsid w:val="008475D7"/>
  </w:style>
  <w:style w:type="paragraph" w:styleId="a7">
    <w:name w:val="footer"/>
    <w:basedOn w:val="a"/>
    <w:link w:val="a8"/>
    <w:uiPriority w:val="99"/>
    <w:unhideWhenUsed/>
    <w:rsid w:val="008475D7"/>
    <w:pPr>
      <w:tabs>
        <w:tab w:val="center" w:pos="4252"/>
        <w:tab w:val="right" w:pos="8504"/>
      </w:tabs>
      <w:snapToGrid w:val="0"/>
    </w:pPr>
  </w:style>
  <w:style w:type="character" w:customStyle="1" w:styleId="a8">
    <w:name w:val="フッター (文字)"/>
    <w:basedOn w:val="a0"/>
    <w:link w:val="a7"/>
    <w:uiPriority w:val="99"/>
    <w:rsid w:val="008475D7"/>
  </w:style>
  <w:style w:type="character" w:customStyle="1" w:styleId="10">
    <w:name w:val="見出し 1 (文字)"/>
    <w:basedOn w:val="a0"/>
    <w:link w:val="1"/>
    <w:uiPriority w:val="9"/>
    <w:rsid w:val="008475D7"/>
    <w:rPr>
      <w:rFonts w:asciiTheme="majorHAnsi" w:eastAsiaTheme="majorEastAsia" w:hAnsiTheme="majorHAnsi" w:cstheme="majorBidi"/>
      <w:sz w:val="24"/>
      <w:szCs w:val="24"/>
    </w:rPr>
  </w:style>
  <w:style w:type="character" w:customStyle="1" w:styleId="20">
    <w:name w:val="見出し 2 (文字)"/>
    <w:basedOn w:val="a0"/>
    <w:link w:val="2"/>
    <w:uiPriority w:val="9"/>
    <w:rsid w:val="008475D7"/>
    <w:rPr>
      <w:rFonts w:asciiTheme="majorHAnsi" w:eastAsiaTheme="majorEastAsia" w:hAnsiTheme="majorHAnsi" w:cstheme="majorBidi"/>
    </w:rPr>
  </w:style>
  <w:style w:type="character" w:customStyle="1" w:styleId="30">
    <w:name w:val="見出し 3 (文字)"/>
    <w:basedOn w:val="a0"/>
    <w:link w:val="3"/>
    <w:uiPriority w:val="9"/>
    <w:rsid w:val="00FD21E3"/>
    <w:rPr>
      <w:rFonts w:asciiTheme="majorHAnsi" w:eastAsiaTheme="majorEastAsia" w:hAnsiTheme="majorHAnsi" w:cstheme="majorBidi"/>
    </w:rPr>
  </w:style>
  <w:style w:type="paragraph" w:styleId="a9">
    <w:name w:val="List Paragraph"/>
    <w:basedOn w:val="a"/>
    <w:uiPriority w:val="34"/>
    <w:qFormat/>
    <w:rsid w:val="000E12A6"/>
    <w:pPr>
      <w:ind w:leftChars="400" w:left="840"/>
    </w:pPr>
  </w:style>
  <w:style w:type="paragraph" w:styleId="aa">
    <w:name w:val="footnote text"/>
    <w:basedOn w:val="a"/>
    <w:link w:val="ab"/>
    <w:uiPriority w:val="99"/>
    <w:semiHidden/>
    <w:unhideWhenUsed/>
    <w:rsid w:val="005559E5"/>
    <w:pPr>
      <w:snapToGrid w:val="0"/>
      <w:jc w:val="left"/>
    </w:pPr>
  </w:style>
  <w:style w:type="character" w:customStyle="1" w:styleId="ab">
    <w:name w:val="脚注文字列 (文字)"/>
    <w:basedOn w:val="a0"/>
    <w:link w:val="aa"/>
    <w:uiPriority w:val="99"/>
    <w:semiHidden/>
    <w:rsid w:val="005559E5"/>
  </w:style>
  <w:style w:type="character" w:styleId="ac">
    <w:name w:val="footnote reference"/>
    <w:basedOn w:val="a0"/>
    <w:uiPriority w:val="99"/>
    <w:semiHidden/>
    <w:unhideWhenUsed/>
    <w:rsid w:val="005559E5"/>
    <w:rPr>
      <w:vertAlign w:val="superscript"/>
    </w:rPr>
  </w:style>
  <w:style w:type="paragraph" w:styleId="ad">
    <w:name w:val="TOC Heading"/>
    <w:basedOn w:val="1"/>
    <w:next w:val="a"/>
    <w:uiPriority w:val="39"/>
    <w:semiHidden/>
    <w:unhideWhenUsed/>
    <w:qFormat/>
    <w:rsid w:val="004C121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C1210"/>
  </w:style>
  <w:style w:type="paragraph" w:styleId="21">
    <w:name w:val="toc 2"/>
    <w:basedOn w:val="a"/>
    <w:next w:val="a"/>
    <w:autoRedefine/>
    <w:uiPriority w:val="39"/>
    <w:unhideWhenUsed/>
    <w:rsid w:val="004C1210"/>
    <w:pPr>
      <w:ind w:leftChars="100" w:left="210"/>
    </w:pPr>
  </w:style>
  <w:style w:type="paragraph" w:styleId="31">
    <w:name w:val="toc 3"/>
    <w:basedOn w:val="a"/>
    <w:next w:val="a"/>
    <w:autoRedefine/>
    <w:uiPriority w:val="39"/>
    <w:unhideWhenUsed/>
    <w:rsid w:val="004C1210"/>
    <w:pPr>
      <w:ind w:leftChars="200" w:left="420"/>
    </w:pPr>
  </w:style>
  <w:style w:type="character" w:styleId="ae">
    <w:name w:val="Hyperlink"/>
    <w:basedOn w:val="a0"/>
    <w:uiPriority w:val="99"/>
    <w:unhideWhenUsed/>
    <w:rsid w:val="004C12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475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5D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D21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1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0175"/>
    <w:rPr>
      <w:rFonts w:asciiTheme="majorHAnsi" w:eastAsiaTheme="majorEastAsia" w:hAnsiTheme="majorHAnsi" w:cstheme="majorBidi"/>
      <w:sz w:val="18"/>
      <w:szCs w:val="18"/>
    </w:rPr>
  </w:style>
  <w:style w:type="paragraph" w:styleId="a5">
    <w:name w:val="header"/>
    <w:basedOn w:val="a"/>
    <w:link w:val="a6"/>
    <w:uiPriority w:val="99"/>
    <w:unhideWhenUsed/>
    <w:rsid w:val="008475D7"/>
    <w:pPr>
      <w:tabs>
        <w:tab w:val="center" w:pos="4252"/>
        <w:tab w:val="right" w:pos="8504"/>
      </w:tabs>
      <w:snapToGrid w:val="0"/>
    </w:pPr>
  </w:style>
  <w:style w:type="character" w:customStyle="1" w:styleId="a6">
    <w:name w:val="ヘッダー (文字)"/>
    <w:basedOn w:val="a0"/>
    <w:link w:val="a5"/>
    <w:uiPriority w:val="99"/>
    <w:rsid w:val="008475D7"/>
  </w:style>
  <w:style w:type="paragraph" w:styleId="a7">
    <w:name w:val="footer"/>
    <w:basedOn w:val="a"/>
    <w:link w:val="a8"/>
    <w:uiPriority w:val="99"/>
    <w:unhideWhenUsed/>
    <w:rsid w:val="008475D7"/>
    <w:pPr>
      <w:tabs>
        <w:tab w:val="center" w:pos="4252"/>
        <w:tab w:val="right" w:pos="8504"/>
      </w:tabs>
      <w:snapToGrid w:val="0"/>
    </w:pPr>
  </w:style>
  <w:style w:type="character" w:customStyle="1" w:styleId="a8">
    <w:name w:val="フッター (文字)"/>
    <w:basedOn w:val="a0"/>
    <w:link w:val="a7"/>
    <w:uiPriority w:val="99"/>
    <w:rsid w:val="008475D7"/>
  </w:style>
  <w:style w:type="character" w:customStyle="1" w:styleId="10">
    <w:name w:val="見出し 1 (文字)"/>
    <w:basedOn w:val="a0"/>
    <w:link w:val="1"/>
    <w:uiPriority w:val="9"/>
    <w:rsid w:val="008475D7"/>
    <w:rPr>
      <w:rFonts w:asciiTheme="majorHAnsi" w:eastAsiaTheme="majorEastAsia" w:hAnsiTheme="majorHAnsi" w:cstheme="majorBidi"/>
      <w:sz w:val="24"/>
      <w:szCs w:val="24"/>
    </w:rPr>
  </w:style>
  <w:style w:type="character" w:customStyle="1" w:styleId="20">
    <w:name w:val="見出し 2 (文字)"/>
    <w:basedOn w:val="a0"/>
    <w:link w:val="2"/>
    <w:uiPriority w:val="9"/>
    <w:rsid w:val="008475D7"/>
    <w:rPr>
      <w:rFonts w:asciiTheme="majorHAnsi" w:eastAsiaTheme="majorEastAsia" w:hAnsiTheme="majorHAnsi" w:cstheme="majorBidi"/>
    </w:rPr>
  </w:style>
  <w:style w:type="character" w:customStyle="1" w:styleId="30">
    <w:name w:val="見出し 3 (文字)"/>
    <w:basedOn w:val="a0"/>
    <w:link w:val="3"/>
    <w:uiPriority w:val="9"/>
    <w:rsid w:val="00FD21E3"/>
    <w:rPr>
      <w:rFonts w:asciiTheme="majorHAnsi" w:eastAsiaTheme="majorEastAsia" w:hAnsiTheme="majorHAnsi" w:cstheme="majorBidi"/>
    </w:rPr>
  </w:style>
  <w:style w:type="paragraph" w:styleId="a9">
    <w:name w:val="List Paragraph"/>
    <w:basedOn w:val="a"/>
    <w:uiPriority w:val="34"/>
    <w:qFormat/>
    <w:rsid w:val="000E12A6"/>
    <w:pPr>
      <w:ind w:leftChars="400" w:left="840"/>
    </w:pPr>
  </w:style>
  <w:style w:type="paragraph" w:styleId="aa">
    <w:name w:val="footnote text"/>
    <w:basedOn w:val="a"/>
    <w:link w:val="ab"/>
    <w:uiPriority w:val="99"/>
    <w:semiHidden/>
    <w:unhideWhenUsed/>
    <w:rsid w:val="005559E5"/>
    <w:pPr>
      <w:snapToGrid w:val="0"/>
      <w:jc w:val="left"/>
    </w:pPr>
  </w:style>
  <w:style w:type="character" w:customStyle="1" w:styleId="ab">
    <w:name w:val="脚注文字列 (文字)"/>
    <w:basedOn w:val="a0"/>
    <w:link w:val="aa"/>
    <w:uiPriority w:val="99"/>
    <w:semiHidden/>
    <w:rsid w:val="005559E5"/>
  </w:style>
  <w:style w:type="character" w:styleId="ac">
    <w:name w:val="footnote reference"/>
    <w:basedOn w:val="a0"/>
    <w:uiPriority w:val="99"/>
    <w:semiHidden/>
    <w:unhideWhenUsed/>
    <w:rsid w:val="005559E5"/>
    <w:rPr>
      <w:vertAlign w:val="superscript"/>
    </w:rPr>
  </w:style>
  <w:style w:type="paragraph" w:styleId="ad">
    <w:name w:val="TOC Heading"/>
    <w:basedOn w:val="1"/>
    <w:next w:val="a"/>
    <w:uiPriority w:val="39"/>
    <w:semiHidden/>
    <w:unhideWhenUsed/>
    <w:qFormat/>
    <w:rsid w:val="004C121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C1210"/>
  </w:style>
  <w:style w:type="paragraph" w:styleId="21">
    <w:name w:val="toc 2"/>
    <w:basedOn w:val="a"/>
    <w:next w:val="a"/>
    <w:autoRedefine/>
    <w:uiPriority w:val="39"/>
    <w:unhideWhenUsed/>
    <w:rsid w:val="004C1210"/>
    <w:pPr>
      <w:ind w:leftChars="100" w:left="210"/>
    </w:pPr>
  </w:style>
  <w:style w:type="paragraph" w:styleId="31">
    <w:name w:val="toc 3"/>
    <w:basedOn w:val="a"/>
    <w:next w:val="a"/>
    <w:autoRedefine/>
    <w:uiPriority w:val="39"/>
    <w:unhideWhenUsed/>
    <w:rsid w:val="004C1210"/>
    <w:pPr>
      <w:ind w:leftChars="200" w:left="420"/>
    </w:pPr>
  </w:style>
  <w:style w:type="character" w:styleId="ae">
    <w:name w:val="Hyperlink"/>
    <w:basedOn w:val="a0"/>
    <w:uiPriority w:val="99"/>
    <w:unhideWhenUsed/>
    <w:rsid w:val="004C1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85805">
      <w:bodyDiv w:val="1"/>
      <w:marLeft w:val="0"/>
      <w:marRight w:val="0"/>
      <w:marTop w:val="0"/>
      <w:marBottom w:val="0"/>
      <w:divBdr>
        <w:top w:val="none" w:sz="0" w:space="0" w:color="auto"/>
        <w:left w:val="none" w:sz="0" w:space="0" w:color="auto"/>
        <w:bottom w:val="none" w:sz="0" w:space="0" w:color="auto"/>
        <w:right w:val="none" w:sz="0" w:space="0" w:color="auto"/>
      </w:divBdr>
      <w:divsChild>
        <w:div w:id="930503104">
          <w:marLeft w:val="0"/>
          <w:marRight w:val="0"/>
          <w:marTop w:val="0"/>
          <w:marBottom w:val="0"/>
          <w:divBdr>
            <w:top w:val="none" w:sz="0" w:space="0" w:color="auto"/>
            <w:left w:val="none" w:sz="0" w:space="0" w:color="auto"/>
            <w:bottom w:val="none" w:sz="0" w:space="0" w:color="auto"/>
            <w:right w:val="none" w:sz="0" w:space="0" w:color="auto"/>
          </w:divBdr>
          <w:divsChild>
            <w:div w:id="3394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4A46-3DA4-40C2-A90C-B6A4FD83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20</Pages>
  <Words>3140</Words>
  <Characters>17901</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H.TAKASAKI</dc:creator>
  <cp:lastModifiedBy>H.TAKASAKI</cp:lastModifiedBy>
  <cp:revision>32</cp:revision>
  <cp:lastPrinted>2011-08-31T15:56:00Z</cp:lastPrinted>
  <dcterms:created xsi:type="dcterms:W3CDTF">2011-08-30T14:23:00Z</dcterms:created>
  <dcterms:modified xsi:type="dcterms:W3CDTF">2011-08-31T22:42:00Z</dcterms:modified>
</cp:coreProperties>
</file>