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8CD" w:rsidRPr="00A04D41" w:rsidRDefault="005C28CD" w:rsidP="001D18D1">
      <w:pPr>
        <w:autoSpaceDE w:val="0"/>
        <w:autoSpaceDN w:val="0"/>
        <w:adjustRightInd w:val="0"/>
        <w:jc w:val="left"/>
        <w:rPr>
          <w:rFonts w:ascii="ＭＳ ゴシック" w:eastAsia="ＭＳ ゴシック" w:hAnsi="ＭＳ ゴシック" w:cstheme="majorHAnsi"/>
          <w:sz w:val="24"/>
        </w:rPr>
      </w:pPr>
      <w:r w:rsidRPr="00A04D41">
        <w:rPr>
          <w:rFonts w:ascii="ＭＳ ゴシック" w:eastAsia="ＭＳ ゴシック" w:hAnsi="ＭＳ ゴシック" w:cstheme="majorHAnsi"/>
          <w:sz w:val="24"/>
        </w:rPr>
        <w:t>Contact Info:</w:t>
      </w:r>
    </w:p>
    <w:p w:rsidR="005C28CD" w:rsidRPr="00A04D41" w:rsidRDefault="00FA0931" w:rsidP="001D18D1">
      <w:pPr>
        <w:autoSpaceDE w:val="0"/>
        <w:autoSpaceDN w:val="0"/>
        <w:adjustRightInd w:val="0"/>
        <w:jc w:val="left"/>
        <w:rPr>
          <w:rFonts w:ascii="ＭＳ ゴシック" w:eastAsia="ＭＳ ゴシック" w:hAnsi="ＭＳ ゴシック" w:cstheme="majorHAnsi"/>
          <w:sz w:val="24"/>
        </w:rPr>
      </w:pPr>
      <w:r w:rsidRPr="00A04D41">
        <w:rPr>
          <w:rFonts w:ascii="ＭＳ ゴシック" w:eastAsia="ＭＳ ゴシック" w:hAnsi="ＭＳ ゴシック" w:cstheme="majorHAnsi"/>
          <w:sz w:val="24"/>
        </w:rPr>
        <w:t>Joseph Chiao-S</w:t>
      </w:r>
      <w:r w:rsidR="005C28CD" w:rsidRPr="00A04D41">
        <w:rPr>
          <w:rFonts w:ascii="ＭＳ ゴシック" w:eastAsia="ＭＳ ゴシック" w:hAnsi="ＭＳ ゴシック" w:cstheme="majorHAnsi"/>
          <w:sz w:val="24"/>
        </w:rPr>
        <w:t>en Chang, Ph.D.</w:t>
      </w:r>
    </w:p>
    <w:p w:rsidR="005C28CD" w:rsidRPr="00A04D41" w:rsidRDefault="005C28CD" w:rsidP="001D18D1">
      <w:pPr>
        <w:autoSpaceDE w:val="0"/>
        <w:autoSpaceDN w:val="0"/>
        <w:adjustRightInd w:val="0"/>
        <w:jc w:val="left"/>
        <w:rPr>
          <w:rFonts w:ascii="ＭＳ ゴシック" w:eastAsia="ＭＳ ゴシック" w:hAnsi="ＭＳ ゴシック" w:cstheme="majorHAnsi"/>
          <w:sz w:val="24"/>
        </w:rPr>
      </w:pPr>
      <w:r w:rsidRPr="00A04D41">
        <w:rPr>
          <w:rFonts w:ascii="ＭＳ ゴシック" w:eastAsia="ＭＳ ゴシック" w:hAnsi="ＭＳ ゴシック" w:cstheme="majorHAnsi"/>
          <w:sz w:val="24"/>
        </w:rPr>
        <w:t>College of Commerce, Nihon Univesity</w:t>
      </w:r>
    </w:p>
    <w:p w:rsidR="005C28CD" w:rsidRPr="00A04D41" w:rsidRDefault="005C28CD" w:rsidP="001D18D1">
      <w:pPr>
        <w:autoSpaceDE w:val="0"/>
        <w:autoSpaceDN w:val="0"/>
        <w:adjustRightInd w:val="0"/>
        <w:jc w:val="left"/>
        <w:rPr>
          <w:rFonts w:ascii="ＭＳ ゴシック" w:eastAsia="ＭＳ ゴシック" w:hAnsi="ＭＳ ゴシック" w:cstheme="majorHAnsi"/>
          <w:sz w:val="24"/>
        </w:rPr>
      </w:pPr>
      <w:r w:rsidRPr="00A04D41">
        <w:rPr>
          <w:rFonts w:ascii="ＭＳ ゴシック" w:eastAsia="ＭＳ ゴシック" w:hAnsi="ＭＳ ゴシック" w:cstheme="majorHAnsi"/>
          <w:sz w:val="24"/>
        </w:rPr>
        <w:t>5-2-1 Kinuta, Setagaya-ku, Tokyo 157-8570, JAPAN</w:t>
      </w:r>
    </w:p>
    <w:p w:rsidR="005C28CD" w:rsidRPr="00A04D41" w:rsidRDefault="005C28CD" w:rsidP="003A30B3">
      <w:pPr>
        <w:rPr>
          <w:rFonts w:ascii="ＭＳ ゴシック" w:eastAsia="ＭＳ ゴシック" w:hAnsi="ＭＳ ゴシック" w:cstheme="majorHAnsi"/>
          <w:sz w:val="24"/>
        </w:rPr>
      </w:pPr>
      <w:r w:rsidRPr="00A04D41">
        <w:rPr>
          <w:rFonts w:ascii="ＭＳ ゴシック" w:eastAsia="ＭＳ ゴシック" w:hAnsi="ＭＳ ゴシック" w:cstheme="majorHAnsi"/>
          <w:sz w:val="24"/>
        </w:rPr>
        <w:t>日本大学商学部・准教授　張喬森（ちょう　きょうしん）</w:t>
      </w:r>
    </w:p>
    <w:p w:rsidR="005C28CD" w:rsidRPr="00A04D41" w:rsidRDefault="005C28CD" w:rsidP="003A30B3">
      <w:pPr>
        <w:rPr>
          <w:rFonts w:ascii="ＭＳ ゴシック" w:eastAsia="ＭＳ ゴシック" w:hAnsi="ＭＳ ゴシック" w:cstheme="majorHAnsi"/>
          <w:sz w:val="24"/>
        </w:rPr>
      </w:pPr>
      <w:r w:rsidRPr="00A04D41">
        <w:rPr>
          <w:rFonts w:ascii="ＭＳ ゴシック" w:eastAsia="ＭＳ ゴシック" w:hAnsi="ＭＳ ゴシック" w:cstheme="majorHAnsi"/>
          <w:sz w:val="24"/>
        </w:rPr>
        <w:t xml:space="preserve">東京都世田谷区砧５－２－１　</w:t>
      </w:r>
    </w:p>
    <w:p w:rsidR="005C28CD" w:rsidRPr="00A04D41" w:rsidRDefault="005C28CD" w:rsidP="001D18D1">
      <w:pPr>
        <w:autoSpaceDE w:val="0"/>
        <w:autoSpaceDN w:val="0"/>
        <w:adjustRightInd w:val="0"/>
        <w:jc w:val="left"/>
        <w:rPr>
          <w:rFonts w:ascii="ＭＳ ゴシック" w:eastAsia="ＭＳ ゴシック" w:hAnsi="ＭＳ ゴシック" w:cstheme="majorHAnsi"/>
          <w:sz w:val="24"/>
        </w:rPr>
      </w:pPr>
      <w:r w:rsidRPr="00A04D41">
        <w:rPr>
          <w:rFonts w:ascii="ＭＳ ゴシック" w:eastAsia="ＭＳ ゴシック" w:hAnsi="ＭＳ ゴシック" w:cstheme="majorHAnsi"/>
          <w:sz w:val="24"/>
        </w:rPr>
        <w:t xml:space="preserve">e-mail: </w:t>
      </w:r>
      <w:hyperlink r:id="rId7" w:history="1">
        <w:r w:rsidR="00F13957" w:rsidRPr="00A04D41">
          <w:rPr>
            <w:rStyle w:val="a7"/>
            <w:rFonts w:ascii="ＭＳ ゴシック" w:eastAsia="ＭＳ ゴシック" w:hAnsi="ＭＳ ゴシック" w:cstheme="majorHAnsi"/>
            <w:color w:val="auto"/>
            <w:sz w:val="24"/>
          </w:rPr>
          <w:t>chang.chiaosen@nihon-u.ac.jp</w:t>
        </w:r>
      </w:hyperlink>
    </w:p>
    <w:p w:rsidR="00A04D41" w:rsidRPr="00A04D41" w:rsidRDefault="00F13957" w:rsidP="001D18D1">
      <w:pPr>
        <w:autoSpaceDE w:val="0"/>
        <w:autoSpaceDN w:val="0"/>
        <w:adjustRightInd w:val="0"/>
        <w:jc w:val="left"/>
        <w:rPr>
          <w:rFonts w:ascii="ＭＳ ゴシック" w:eastAsia="ＭＳ ゴシック" w:hAnsi="ＭＳ ゴシック" w:cstheme="majorHAnsi" w:hint="eastAsia"/>
          <w:sz w:val="24"/>
        </w:rPr>
      </w:pPr>
      <w:r w:rsidRPr="00A04D41">
        <w:rPr>
          <w:rFonts w:ascii="ＭＳ ゴシック" w:eastAsia="ＭＳ ゴシック" w:hAnsi="ＭＳ ゴシック" w:cstheme="majorHAnsi"/>
          <w:sz w:val="24"/>
        </w:rPr>
        <w:t>Tel: 03-3415-9838</w:t>
      </w:r>
    </w:p>
    <w:p w:rsidR="00F13957" w:rsidRPr="00A04D41" w:rsidRDefault="00A04D41" w:rsidP="001D18D1">
      <w:pPr>
        <w:autoSpaceDE w:val="0"/>
        <w:autoSpaceDN w:val="0"/>
        <w:adjustRightInd w:val="0"/>
        <w:jc w:val="left"/>
        <w:rPr>
          <w:rFonts w:ascii="ＭＳ ゴシック" w:eastAsia="ＭＳ ゴシック" w:hAnsi="ＭＳ ゴシック" w:cstheme="majorHAnsi"/>
          <w:sz w:val="24"/>
        </w:rPr>
      </w:pPr>
      <w:r w:rsidRPr="00A04D41">
        <w:rPr>
          <w:rFonts w:ascii="ＭＳ ゴシック" w:eastAsia="ＭＳ ゴシック" w:hAnsi="ＭＳ ゴシック" w:cstheme="majorHAnsi"/>
          <w:sz w:val="24"/>
        </w:rPr>
        <w:t>英語による報告を希望</w:t>
      </w:r>
    </w:p>
    <w:p w:rsidR="00A04D41" w:rsidRDefault="00A04D41" w:rsidP="001D18D1">
      <w:pPr>
        <w:autoSpaceDE w:val="0"/>
        <w:autoSpaceDN w:val="0"/>
        <w:adjustRightInd w:val="0"/>
        <w:jc w:val="left"/>
        <w:rPr>
          <w:rFonts w:ascii="Arial" w:hAnsi="Arial" w:cs="Arial" w:hint="eastAsia"/>
          <w:color w:val="3D3F40"/>
          <w:sz w:val="28"/>
          <w:szCs w:val="28"/>
        </w:rPr>
      </w:pPr>
    </w:p>
    <w:p w:rsidR="005C28CD" w:rsidRPr="00A6713D" w:rsidRDefault="005C28CD" w:rsidP="001D18D1">
      <w:pPr>
        <w:autoSpaceDE w:val="0"/>
        <w:autoSpaceDN w:val="0"/>
        <w:adjustRightInd w:val="0"/>
        <w:jc w:val="left"/>
        <w:rPr>
          <w:rFonts w:ascii="Arial" w:hAnsi="Arial" w:cs="Arial"/>
          <w:color w:val="3D3F40"/>
          <w:sz w:val="28"/>
          <w:szCs w:val="28"/>
        </w:rPr>
      </w:pPr>
      <w:r w:rsidRPr="00A6713D">
        <w:rPr>
          <w:rFonts w:ascii="Arial" w:hAnsi="Arial" w:cs="Arial"/>
          <w:color w:val="3D3F40"/>
          <w:sz w:val="28"/>
          <w:szCs w:val="28"/>
        </w:rPr>
        <w:t xml:space="preserve">Title: </w:t>
      </w:r>
    </w:p>
    <w:p w:rsidR="005C28CD" w:rsidRPr="000B0588" w:rsidRDefault="005C28CD" w:rsidP="003A30B3">
      <w:pPr>
        <w:rPr>
          <w:rFonts w:ascii="Arial" w:hAnsi="Arial" w:cs="Arial"/>
          <w:i/>
          <w:sz w:val="28"/>
          <w:szCs w:val="28"/>
        </w:rPr>
      </w:pPr>
      <w:r w:rsidRPr="000B0588">
        <w:rPr>
          <w:rFonts w:ascii="Arial" w:hAnsi="Arial" w:cs="Arial"/>
          <w:i/>
          <w:sz w:val="28"/>
          <w:szCs w:val="28"/>
        </w:rPr>
        <w:t>“China-</w:t>
      </w:r>
      <w:r w:rsidR="0074794A">
        <w:rPr>
          <w:rFonts w:ascii="Arial" w:hAnsi="Arial" w:cs="Arial"/>
          <w:i/>
          <w:sz w:val="28"/>
          <w:szCs w:val="28"/>
        </w:rPr>
        <w:t>Taiwan Economic Integration</w:t>
      </w:r>
      <w:r w:rsidRPr="000B0588">
        <w:rPr>
          <w:rFonts w:ascii="Arial" w:hAnsi="Arial" w:cs="Arial"/>
          <w:i/>
          <w:sz w:val="28"/>
          <w:szCs w:val="28"/>
        </w:rPr>
        <w:t>”</w:t>
      </w:r>
    </w:p>
    <w:p w:rsidR="005C28CD" w:rsidRPr="00A6713D" w:rsidRDefault="005C28CD" w:rsidP="003A30B3">
      <w:pPr>
        <w:rPr>
          <w:i/>
          <w:sz w:val="24"/>
        </w:rPr>
      </w:pPr>
    </w:p>
    <w:p w:rsidR="005C28CD" w:rsidRPr="00A6713D" w:rsidRDefault="005C28CD" w:rsidP="001D18D1">
      <w:pPr>
        <w:autoSpaceDE w:val="0"/>
        <w:autoSpaceDN w:val="0"/>
        <w:adjustRightInd w:val="0"/>
        <w:jc w:val="left"/>
        <w:rPr>
          <w:rFonts w:ascii="Arial" w:hAnsi="Arial" w:cs="Arial"/>
          <w:color w:val="3D3F40"/>
          <w:sz w:val="24"/>
        </w:rPr>
      </w:pPr>
      <w:r w:rsidRPr="00A6713D">
        <w:rPr>
          <w:rFonts w:ascii="Arial" w:hAnsi="Arial" w:cs="Arial"/>
          <w:color w:val="3D3F40"/>
          <w:sz w:val="24"/>
        </w:rPr>
        <w:t>Abstract:</w:t>
      </w:r>
    </w:p>
    <w:p w:rsidR="005C28CD" w:rsidRDefault="005C28CD" w:rsidP="00090910">
      <w:pPr>
        <w:autoSpaceDE w:val="0"/>
        <w:autoSpaceDN w:val="0"/>
        <w:adjustRightInd w:val="0"/>
        <w:jc w:val="left"/>
        <w:rPr>
          <w:rFonts w:ascii="Arial" w:hAnsi="Arial" w:cs="Arial"/>
          <w:kern w:val="0"/>
          <w:sz w:val="24"/>
        </w:rPr>
      </w:pPr>
    </w:p>
    <w:p w:rsidR="005C28CD" w:rsidRDefault="005C28CD" w:rsidP="00090910">
      <w:pPr>
        <w:autoSpaceDE w:val="0"/>
        <w:autoSpaceDN w:val="0"/>
        <w:adjustRightInd w:val="0"/>
        <w:jc w:val="left"/>
        <w:rPr>
          <w:rFonts w:ascii="Arial" w:hAnsi="Arial" w:cs="Arial"/>
          <w:kern w:val="0"/>
          <w:sz w:val="24"/>
        </w:rPr>
      </w:pPr>
      <w:r w:rsidRPr="00A6713D">
        <w:rPr>
          <w:rFonts w:ascii="Arial" w:hAnsi="Arial" w:cs="Arial"/>
          <w:kern w:val="0"/>
          <w:sz w:val="24"/>
        </w:rPr>
        <w:t>Observing the extraordinary growth potential of China, Taiwanese enterprises have</w:t>
      </w:r>
      <w:r>
        <w:rPr>
          <w:rFonts w:ascii="Arial" w:hAnsi="Arial" w:cs="Arial" w:hint="eastAsia"/>
          <w:kern w:val="0"/>
          <w:sz w:val="24"/>
        </w:rPr>
        <w:t xml:space="preserve">　</w:t>
      </w:r>
      <w:r w:rsidRPr="00A6713D">
        <w:rPr>
          <w:rFonts w:ascii="Arial" w:hAnsi="Arial" w:cs="Arial"/>
          <w:kern w:val="0"/>
          <w:sz w:val="24"/>
        </w:rPr>
        <w:t>been quietly building up strong business links with China since late 1980’s;</w:t>
      </w:r>
      <w:r w:rsidRPr="00A6713D">
        <w:rPr>
          <w:rFonts w:ascii="Arial" w:cs="Arial" w:hint="eastAsia"/>
          <w:kern w:val="0"/>
          <w:sz w:val="24"/>
        </w:rPr>
        <w:t xml:space="preserve">　</w:t>
      </w:r>
      <w:r w:rsidRPr="00A6713D">
        <w:rPr>
          <w:rFonts w:ascii="Arial" w:hAnsi="Arial" w:cs="Arial"/>
          <w:kern w:val="0"/>
          <w:sz w:val="24"/>
        </w:rPr>
        <w:t>however, the Taiwan political regimes had not been willing to ta</w:t>
      </w:r>
      <w:r>
        <w:rPr>
          <w:rFonts w:ascii="Arial" w:hAnsi="Arial" w:cs="Arial"/>
          <w:kern w:val="0"/>
          <w:sz w:val="24"/>
        </w:rPr>
        <w:t xml:space="preserve">ke an assertive attitude toward </w:t>
      </w:r>
      <w:r>
        <w:rPr>
          <w:rFonts w:ascii="Arial" w:eastAsia="PMingLiU" w:hAnsi="Arial" w:cs="Arial"/>
          <w:kern w:val="0"/>
          <w:sz w:val="24"/>
          <w:lang w:eastAsia="zh-TW"/>
        </w:rPr>
        <w:t xml:space="preserve">China-Taiwan </w:t>
      </w:r>
      <w:r w:rsidRPr="00A6713D">
        <w:rPr>
          <w:rFonts w:ascii="Arial" w:hAnsi="Arial" w:cs="Arial"/>
          <w:kern w:val="0"/>
          <w:sz w:val="24"/>
        </w:rPr>
        <w:t xml:space="preserve">economic integration until Taiwan’s new leader came to power in 2008. </w:t>
      </w:r>
    </w:p>
    <w:p w:rsidR="005C28CD" w:rsidRPr="00090910" w:rsidRDefault="005C28CD" w:rsidP="001D18D1">
      <w:pPr>
        <w:autoSpaceDE w:val="0"/>
        <w:autoSpaceDN w:val="0"/>
        <w:adjustRightInd w:val="0"/>
        <w:jc w:val="left"/>
        <w:rPr>
          <w:rFonts w:ascii="Arial" w:hAnsi="Arial" w:cs="Arial"/>
          <w:kern w:val="0"/>
          <w:sz w:val="24"/>
        </w:rPr>
      </w:pPr>
    </w:p>
    <w:p w:rsidR="005C28CD" w:rsidRDefault="005C28CD" w:rsidP="0074794A">
      <w:pPr>
        <w:autoSpaceDE w:val="0"/>
        <w:autoSpaceDN w:val="0"/>
        <w:adjustRightInd w:val="0"/>
        <w:jc w:val="left"/>
        <w:rPr>
          <w:rFonts w:ascii="Arial" w:hAnsi="Arial" w:cs="Arial"/>
          <w:kern w:val="0"/>
          <w:sz w:val="24"/>
        </w:rPr>
      </w:pPr>
      <w:r>
        <w:rPr>
          <w:rFonts w:ascii="Arial" w:hAnsi="Arial" w:cs="Arial"/>
          <w:kern w:val="0"/>
          <w:sz w:val="24"/>
        </w:rPr>
        <w:t>In this paper, the author will</w:t>
      </w:r>
      <w:r w:rsidR="0074794A">
        <w:rPr>
          <w:rFonts w:ascii="Arial" w:hAnsi="Arial" w:cs="Arial"/>
          <w:kern w:val="0"/>
          <w:sz w:val="24"/>
        </w:rPr>
        <w:t xml:space="preserve"> </w:t>
      </w:r>
      <w:r w:rsidR="0074794A">
        <w:rPr>
          <w:rFonts w:ascii="Arial" w:hAnsi="Arial" w:cs="Arial" w:hint="eastAsia"/>
          <w:kern w:val="0"/>
          <w:sz w:val="24"/>
        </w:rPr>
        <w:t>explore</w:t>
      </w:r>
      <w:r w:rsidR="0074794A">
        <w:rPr>
          <w:rFonts w:ascii="Arial" w:hAnsi="Arial" w:cs="Arial"/>
          <w:kern w:val="0"/>
          <w:sz w:val="24"/>
        </w:rPr>
        <w:t xml:space="preserve"> </w:t>
      </w:r>
      <w:r w:rsidR="0074794A">
        <w:rPr>
          <w:rFonts w:ascii="Arial" w:hAnsi="Arial" w:cs="Arial" w:hint="eastAsia"/>
          <w:kern w:val="0"/>
          <w:sz w:val="24"/>
        </w:rPr>
        <w:t>h</w:t>
      </w:r>
      <w:r w:rsidRPr="00A6713D">
        <w:rPr>
          <w:rFonts w:ascii="Arial" w:hAnsi="Arial" w:cs="Arial"/>
          <w:kern w:val="0"/>
          <w:sz w:val="24"/>
        </w:rPr>
        <w:t>ow</w:t>
      </w:r>
      <w:r>
        <w:rPr>
          <w:rFonts w:ascii="Arial" w:eastAsia="PMingLiU" w:hAnsi="Arial" w:cs="Arial"/>
          <w:kern w:val="0"/>
          <w:sz w:val="24"/>
          <w:lang w:eastAsia="zh-TW"/>
        </w:rPr>
        <w:t xml:space="preserve"> </w:t>
      </w:r>
      <w:r w:rsidRPr="00A6713D">
        <w:rPr>
          <w:rFonts w:ascii="Arial" w:hAnsi="Arial" w:cs="Arial"/>
          <w:kern w:val="0"/>
          <w:sz w:val="24"/>
        </w:rPr>
        <w:t>China-Taiwan economic integration evolv</w:t>
      </w:r>
      <w:r>
        <w:rPr>
          <w:rFonts w:ascii="Arial" w:eastAsia="PMingLiU" w:hAnsi="Arial" w:cs="Arial"/>
          <w:kern w:val="0"/>
          <w:sz w:val="24"/>
          <w:lang w:eastAsia="zh-TW"/>
        </w:rPr>
        <w:t>e</w:t>
      </w:r>
      <w:r w:rsidR="0074794A">
        <w:rPr>
          <w:rFonts w:ascii="Arial" w:hAnsi="Arial" w:cs="Arial" w:hint="eastAsia"/>
          <w:kern w:val="0"/>
          <w:sz w:val="24"/>
        </w:rPr>
        <w:t>d</w:t>
      </w:r>
      <w:r w:rsidR="00FA0931">
        <w:rPr>
          <w:rFonts w:ascii="Arial" w:hAnsi="Arial" w:cs="Arial" w:hint="eastAsia"/>
          <w:kern w:val="0"/>
          <w:sz w:val="24"/>
        </w:rPr>
        <w:t xml:space="preserve"> and its implication with</w:t>
      </w:r>
      <w:r>
        <w:rPr>
          <w:rFonts w:ascii="Arial" w:hAnsi="Arial" w:cs="Arial"/>
          <w:kern w:val="0"/>
          <w:sz w:val="24"/>
        </w:rPr>
        <w:t xml:space="preserve"> a macro-analysis</w:t>
      </w:r>
      <w:r>
        <w:rPr>
          <w:rFonts w:ascii="Arial" w:eastAsia="PMingLiU" w:hAnsi="Arial" w:cs="Arial"/>
          <w:kern w:val="0"/>
          <w:sz w:val="24"/>
          <w:lang w:eastAsia="zh-TW"/>
        </w:rPr>
        <w:t xml:space="preserve"> approach.  </w:t>
      </w:r>
      <w:r>
        <w:rPr>
          <w:rFonts w:ascii="Arial" w:hAnsi="Arial" w:cs="Arial"/>
          <w:kern w:val="0"/>
          <w:sz w:val="24"/>
        </w:rPr>
        <w:t xml:space="preserve"> </w:t>
      </w:r>
      <w:r w:rsidR="0074794A">
        <w:rPr>
          <w:rFonts w:ascii="Arial" w:hAnsi="Arial" w:cs="Arial" w:hint="eastAsia"/>
          <w:kern w:val="0"/>
          <w:sz w:val="24"/>
        </w:rPr>
        <w:t>H</w:t>
      </w:r>
      <w:r>
        <w:rPr>
          <w:rFonts w:ascii="Arial" w:eastAsia="PMingLiU" w:hAnsi="Arial" w:cs="Arial"/>
          <w:kern w:val="0"/>
          <w:sz w:val="24"/>
          <w:lang w:eastAsia="zh-TW"/>
        </w:rPr>
        <w:t xml:space="preserve">e </w:t>
      </w:r>
      <w:r>
        <w:rPr>
          <w:rFonts w:ascii="Arial" w:hAnsi="Arial" w:cs="Arial"/>
          <w:kern w:val="0"/>
          <w:sz w:val="24"/>
        </w:rPr>
        <w:t xml:space="preserve">aims to examine the degree of economic integration by employing the relative measure of trade intensity and the same of FDI intensity with a dual perspective from both Taiwan’s side and China’s side.  </w:t>
      </w:r>
      <w:r w:rsidR="0074794A">
        <w:rPr>
          <w:rFonts w:ascii="Arial" w:hAnsi="Arial" w:cs="Arial" w:hint="eastAsia"/>
          <w:kern w:val="0"/>
          <w:sz w:val="24"/>
        </w:rPr>
        <w:t xml:space="preserve">The </w:t>
      </w:r>
      <w:r w:rsidR="00FA0931">
        <w:rPr>
          <w:rFonts w:ascii="Arial" w:hAnsi="Arial" w:cs="Arial" w:hint="eastAsia"/>
          <w:kern w:val="0"/>
          <w:sz w:val="24"/>
        </w:rPr>
        <w:t xml:space="preserve">implication of the research </w:t>
      </w:r>
      <w:r w:rsidR="0074794A">
        <w:rPr>
          <w:rFonts w:ascii="Arial" w:hAnsi="Arial" w:cs="Arial" w:hint="eastAsia"/>
          <w:kern w:val="0"/>
          <w:sz w:val="24"/>
        </w:rPr>
        <w:t xml:space="preserve">result </w:t>
      </w:r>
      <w:r w:rsidR="00FA0931">
        <w:rPr>
          <w:rFonts w:ascii="Arial" w:hAnsi="Arial" w:cs="Arial" w:hint="eastAsia"/>
          <w:kern w:val="0"/>
          <w:sz w:val="24"/>
        </w:rPr>
        <w:t>is applied to explore</w:t>
      </w:r>
      <w:r>
        <w:rPr>
          <w:rFonts w:ascii="Arial" w:hAnsi="Arial" w:cs="Arial"/>
          <w:kern w:val="0"/>
          <w:sz w:val="24"/>
        </w:rPr>
        <w:t xml:space="preserve"> how the strategic movement of </w:t>
      </w:r>
      <w:r>
        <w:rPr>
          <w:rFonts w:ascii="Arial" w:eastAsia="PMingLiU" w:hAnsi="Arial" w:cs="Arial"/>
          <w:kern w:val="0"/>
          <w:sz w:val="24"/>
          <w:lang w:eastAsia="zh-TW"/>
        </w:rPr>
        <w:t xml:space="preserve">Taiwanese </w:t>
      </w:r>
      <w:r>
        <w:rPr>
          <w:rFonts w:ascii="Arial" w:hAnsi="Arial" w:cs="Arial"/>
          <w:kern w:val="0"/>
          <w:sz w:val="24"/>
        </w:rPr>
        <w:t xml:space="preserve">firms reacted to the </w:t>
      </w:r>
      <w:r>
        <w:rPr>
          <w:rFonts w:ascii="Arial" w:eastAsia="PMingLiU" w:hAnsi="Arial" w:cs="Arial"/>
          <w:kern w:val="0"/>
          <w:sz w:val="24"/>
          <w:lang w:eastAsia="zh-TW"/>
        </w:rPr>
        <w:t xml:space="preserve">dynamic </w:t>
      </w:r>
      <w:r>
        <w:rPr>
          <w:rFonts w:ascii="Arial" w:hAnsi="Arial" w:cs="Arial"/>
          <w:kern w:val="0"/>
          <w:sz w:val="24"/>
        </w:rPr>
        <w:t>China-Taiwan context</w:t>
      </w:r>
      <w:r>
        <w:rPr>
          <w:rFonts w:ascii="Arial" w:eastAsia="PMingLiU" w:hAnsi="Arial" w:cs="Arial"/>
          <w:kern w:val="0"/>
          <w:sz w:val="24"/>
          <w:lang w:eastAsia="zh-TW"/>
        </w:rPr>
        <w:t xml:space="preserve"> and its possible impacts. </w:t>
      </w:r>
      <w:r>
        <w:rPr>
          <w:rFonts w:ascii="Arial" w:hAnsi="Arial" w:cs="Arial"/>
          <w:kern w:val="0"/>
          <w:sz w:val="24"/>
        </w:rPr>
        <w:t xml:space="preserve"> </w:t>
      </w:r>
    </w:p>
    <w:p w:rsidR="005C28CD" w:rsidRDefault="005C28CD" w:rsidP="00090910">
      <w:pPr>
        <w:autoSpaceDE w:val="0"/>
        <w:autoSpaceDN w:val="0"/>
        <w:adjustRightInd w:val="0"/>
        <w:jc w:val="left"/>
        <w:rPr>
          <w:rFonts w:ascii="Arial" w:hAnsi="Arial" w:cs="Arial"/>
          <w:kern w:val="0"/>
          <w:sz w:val="24"/>
        </w:rPr>
      </w:pPr>
    </w:p>
    <w:p w:rsidR="005C28CD" w:rsidRDefault="005C28CD" w:rsidP="000B0588">
      <w:pPr>
        <w:autoSpaceDE w:val="0"/>
        <w:autoSpaceDN w:val="0"/>
        <w:adjustRightInd w:val="0"/>
        <w:ind w:firstLine="840"/>
        <w:jc w:val="left"/>
        <w:rPr>
          <w:rFonts w:ascii="Arial" w:hAnsi="Arial" w:cs="Arial"/>
          <w:kern w:val="0"/>
          <w:sz w:val="24"/>
        </w:rPr>
      </w:pPr>
      <w:r>
        <w:rPr>
          <w:rFonts w:ascii="Arial" w:hAnsi="Arial" w:cs="Arial"/>
          <w:kern w:val="0"/>
          <w:sz w:val="24"/>
        </w:rPr>
        <w:t xml:space="preserve">For the Taiwanese firms with global visions, their world business strategies will most likely to have Chinese production and market included.  This will surely enhance their competitive advantage in the global market through the creation of economy of scale, growth opportunities and synergy of resource integration.  However, the weak political backup of Taiwanese government and the special cross-strait political and historical conflicts will continues to be a great concern for both political and business leaders –a </w:t>
      </w:r>
      <w:r>
        <w:rPr>
          <w:rFonts w:ascii="Arial" w:hAnsi="Arial" w:cs="Arial"/>
          <w:kern w:val="0"/>
          <w:sz w:val="24"/>
        </w:rPr>
        <w:lastRenderedPageBreak/>
        <w:t>delicate and complex issue requires further analysis.</w:t>
      </w:r>
    </w:p>
    <w:p w:rsidR="005C28CD" w:rsidRDefault="005C28CD" w:rsidP="001D18D1">
      <w:pPr>
        <w:autoSpaceDE w:val="0"/>
        <w:autoSpaceDN w:val="0"/>
        <w:adjustRightInd w:val="0"/>
        <w:jc w:val="left"/>
        <w:rPr>
          <w:rFonts w:ascii="Arial" w:hAnsi="Arial" w:cs="Arial"/>
          <w:kern w:val="0"/>
          <w:sz w:val="24"/>
        </w:rPr>
      </w:pPr>
    </w:p>
    <w:p w:rsidR="005C28CD" w:rsidRPr="00A6713D" w:rsidRDefault="005C28CD" w:rsidP="001D18D1">
      <w:pPr>
        <w:autoSpaceDE w:val="0"/>
        <w:autoSpaceDN w:val="0"/>
        <w:adjustRightInd w:val="0"/>
        <w:jc w:val="left"/>
        <w:rPr>
          <w:rFonts w:ascii="Arial" w:hAnsi="Arial" w:cs="Arial"/>
          <w:kern w:val="0"/>
          <w:sz w:val="24"/>
        </w:rPr>
      </w:pPr>
      <w:r w:rsidRPr="00A6713D">
        <w:rPr>
          <w:rFonts w:ascii="Arial" w:hAnsi="Arial" w:cs="Arial"/>
          <w:kern w:val="0"/>
          <w:sz w:val="24"/>
        </w:rPr>
        <w:t xml:space="preserve">What motivates this research is to enrich the </w:t>
      </w:r>
      <w:r w:rsidR="00FA0931">
        <w:rPr>
          <w:rFonts w:ascii="Arial" w:hAnsi="Arial" w:cs="Arial" w:hint="eastAsia"/>
          <w:kern w:val="0"/>
          <w:sz w:val="24"/>
        </w:rPr>
        <w:t>inter</w:t>
      </w:r>
      <w:r w:rsidR="00FA0931">
        <w:rPr>
          <w:rFonts w:ascii="Arial" w:hAnsi="Arial" w:cs="Arial"/>
          <w:kern w:val="0"/>
          <w:sz w:val="24"/>
        </w:rPr>
        <w:t>disciplinary</w:t>
      </w:r>
      <w:r w:rsidR="00FA0931">
        <w:rPr>
          <w:rFonts w:ascii="Arial" w:hAnsi="Arial" w:cs="Arial" w:hint="eastAsia"/>
          <w:kern w:val="0"/>
          <w:sz w:val="24"/>
        </w:rPr>
        <w:t xml:space="preserve"> </w:t>
      </w:r>
      <w:r w:rsidRPr="00A6713D">
        <w:rPr>
          <w:rFonts w:ascii="Arial" w:hAnsi="Arial" w:cs="Arial"/>
          <w:kern w:val="0"/>
          <w:sz w:val="24"/>
        </w:rPr>
        <w:t xml:space="preserve">study </w:t>
      </w:r>
      <w:r>
        <w:rPr>
          <w:rFonts w:ascii="Arial" w:hAnsi="Arial" w:cs="Arial"/>
          <w:kern w:val="0"/>
          <w:sz w:val="24"/>
        </w:rPr>
        <w:t xml:space="preserve">of </w:t>
      </w:r>
      <w:r w:rsidRPr="00A6713D">
        <w:rPr>
          <w:rFonts w:ascii="Arial" w:hAnsi="Arial" w:cs="Arial"/>
          <w:kern w:val="0"/>
          <w:sz w:val="24"/>
        </w:rPr>
        <w:t xml:space="preserve">the </w:t>
      </w:r>
      <w:r w:rsidR="00FA0931">
        <w:rPr>
          <w:rFonts w:ascii="Arial" w:hAnsi="Arial" w:cs="Arial" w:hint="eastAsia"/>
          <w:kern w:val="0"/>
          <w:sz w:val="24"/>
        </w:rPr>
        <w:t xml:space="preserve">FTA and </w:t>
      </w:r>
      <w:r w:rsidRPr="00A6713D">
        <w:rPr>
          <w:rFonts w:ascii="Arial" w:hAnsi="Arial" w:cs="Arial"/>
          <w:kern w:val="0"/>
          <w:sz w:val="24"/>
        </w:rPr>
        <w:t xml:space="preserve">state-MNE </w:t>
      </w:r>
      <w:r w:rsidR="00FA0931">
        <w:rPr>
          <w:rFonts w:ascii="Arial" w:hAnsi="Arial" w:cs="Arial" w:hint="eastAsia"/>
          <w:kern w:val="0"/>
          <w:sz w:val="24"/>
        </w:rPr>
        <w:t>research</w:t>
      </w:r>
      <w:r>
        <w:rPr>
          <w:rFonts w:ascii="Arial" w:hAnsi="Arial" w:cs="Arial"/>
          <w:kern w:val="0"/>
          <w:sz w:val="24"/>
        </w:rPr>
        <w:t xml:space="preserve"> in the China-Taiwan Context.  Hopefully, it can shed light on formulating</w:t>
      </w:r>
      <w:r w:rsidRPr="00A6713D">
        <w:rPr>
          <w:rFonts w:ascii="Arial" w:hAnsi="Arial" w:cs="Arial"/>
          <w:kern w:val="0"/>
          <w:sz w:val="24"/>
        </w:rPr>
        <w:t xml:space="preserve"> better policies to avoid chaotic outcome and facilitate a peaceful and prosperous Taiwan-China relationship and thus Asia Pacific community.</w:t>
      </w:r>
    </w:p>
    <w:p w:rsidR="005C28CD" w:rsidRPr="00A6713D" w:rsidRDefault="005C28CD">
      <w:pPr>
        <w:rPr>
          <w:rFonts w:ascii="Arial" w:hAnsi="Arial" w:cs="Arial"/>
          <w:sz w:val="24"/>
        </w:rPr>
      </w:pPr>
    </w:p>
    <w:sectPr w:rsidR="005C28CD" w:rsidRPr="00A6713D" w:rsidSect="001C6110">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2EE0" w:rsidRDefault="008F2EE0" w:rsidP="003A30B3">
      <w:r>
        <w:separator/>
      </w:r>
    </w:p>
  </w:endnote>
  <w:endnote w:type="continuationSeparator" w:id="0">
    <w:p w:rsidR="008F2EE0" w:rsidRDefault="008F2EE0" w:rsidP="003A30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2EE0" w:rsidRDefault="008F2EE0" w:rsidP="003A30B3">
      <w:r>
        <w:separator/>
      </w:r>
    </w:p>
  </w:footnote>
  <w:footnote w:type="continuationSeparator" w:id="0">
    <w:p w:rsidR="008F2EE0" w:rsidRDefault="008F2EE0" w:rsidP="003A30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D2A0F"/>
    <w:multiLevelType w:val="hybridMultilevel"/>
    <w:tmpl w:val="E7D0CB00"/>
    <w:lvl w:ilvl="0" w:tplc="9B9086CC">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204"/>
  <w:bordersDoNotSurroundHeader/>
  <w:bordersDoNotSurroundFooter/>
  <w:stylePaneFormatFilter w:val="3F01"/>
  <w:doNotTrackMoves/>
  <w:defaultTabStop w:val="840"/>
  <w:displayHorizontalDrawingGridEvery w:val="0"/>
  <w:displayVerticalDrawingGridEvery w:val="2"/>
  <w:characterSpacingControl w:val="compressPunctuation"/>
  <w:hdrShapeDefaults>
    <o:shapedefaults v:ext="edit" spidmax="717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18D1"/>
    <w:rsid w:val="00090910"/>
    <w:rsid w:val="000B0588"/>
    <w:rsid w:val="00153D81"/>
    <w:rsid w:val="00157E2B"/>
    <w:rsid w:val="001C6110"/>
    <w:rsid w:val="001D18D1"/>
    <w:rsid w:val="002859D0"/>
    <w:rsid w:val="003A30B3"/>
    <w:rsid w:val="003B4AF9"/>
    <w:rsid w:val="0043041F"/>
    <w:rsid w:val="004E4ECB"/>
    <w:rsid w:val="00506DA6"/>
    <w:rsid w:val="005C28CD"/>
    <w:rsid w:val="00640931"/>
    <w:rsid w:val="0064480E"/>
    <w:rsid w:val="00717561"/>
    <w:rsid w:val="00735415"/>
    <w:rsid w:val="0074794A"/>
    <w:rsid w:val="007D4D79"/>
    <w:rsid w:val="007E3972"/>
    <w:rsid w:val="007E4C71"/>
    <w:rsid w:val="00837496"/>
    <w:rsid w:val="008D3121"/>
    <w:rsid w:val="008F2EE0"/>
    <w:rsid w:val="009A10DA"/>
    <w:rsid w:val="009F0691"/>
    <w:rsid w:val="00A04D41"/>
    <w:rsid w:val="00A160D7"/>
    <w:rsid w:val="00A6713D"/>
    <w:rsid w:val="00A90F5F"/>
    <w:rsid w:val="00A9340E"/>
    <w:rsid w:val="00A9728D"/>
    <w:rsid w:val="00B454C2"/>
    <w:rsid w:val="00B519C0"/>
    <w:rsid w:val="00B92DBA"/>
    <w:rsid w:val="00BA0F31"/>
    <w:rsid w:val="00BD09B0"/>
    <w:rsid w:val="00BD2BE4"/>
    <w:rsid w:val="00C43BD8"/>
    <w:rsid w:val="00C54816"/>
    <w:rsid w:val="00CB7ED9"/>
    <w:rsid w:val="00CF3225"/>
    <w:rsid w:val="00D16372"/>
    <w:rsid w:val="00D337E0"/>
    <w:rsid w:val="00D506D2"/>
    <w:rsid w:val="00DF107B"/>
    <w:rsid w:val="00E506D0"/>
    <w:rsid w:val="00F13957"/>
    <w:rsid w:val="00F13BD6"/>
    <w:rsid w:val="00F14ED6"/>
    <w:rsid w:val="00FA0931"/>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18D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A30B3"/>
    <w:pPr>
      <w:tabs>
        <w:tab w:val="center" w:pos="4252"/>
        <w:tab w:val="right" w:pos="8504"/>
      </w:tabs>
      <w:snapToGrid w:val="0"/>
    </w:pPr>
  </w:style>
  <w:style w:type="character" w:customStyle="1" w:styleId="a4">
    <w:name w:val="ヘッダー (文字)"/>
    <w:basedOn w:val="a0"/>
    <w:link w:val="a3"/>
    <w:uiPriority w:val="99"/>
    <w:locked/>
    <w:rsid w:val="003A30B3"/>
    <w:rPr>
      <w:rFonts w:cs="Times New Roman"/>
      <w:kern w:val="2"/>
      <w:sz w:val="24"/>
      <w:szCs w:val="24"/>
    </w:rPr>
  </w:style>
  <w:style w:type="paragraph" w:styleId="a5">
    <w:name w:val="footer"/>
    <w:basedOn w:val="a"/>
    <w:link w:val="a6"/>
    <w:uiPriority w:val="99"/>
    <w:rsid w:val="003A30B3"/>
    <w:pPr>
      <w:tabs>
        <w:tab w:val="center" w:pos="4252"/>
        <w:tab w:val="right" w:pos="8504"/>
      </w:tabs>
      <w:snapToGrid w:val="0"/>
    </w:pPr>
  </w:style>
  <w:style w:type="character" w:customStyle="1" w:styleId="a6">
    <w:name w:val="フッター (文字)"/>
    <w:basedOn w:val="a0"/>
    <w:link w:val="a5"/>
    <w:uiPriority w:val="99"/>
    <w:locked/>
    <w:rsid w:val="003A30B3"/>
    <w:rPr>
      <w:rFonts w:cs="Times New Roman"/>
      <w:kern w:val="2"/>
      <w:sz w:val="24"/>
      <w:szCs w:val="24"/>
    </w:rPr>
  </w:style>
  <w:style w:type="character" w:styleId="a7">
    <w:name w:val="Hyperlink"/>
    <w:basedOn w:val="a0"/>
    <w:uiPriority w:val="99"/>
    <w:unhideWhenUsed/>
    <w:rsid w:val="00F1395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ang.chiaosen@nihon-u.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314</Words>
  <Characters>1790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Observing the extraordinary growth potential of China, Taiwanese enterprises have</vt:lpstr>
    </vt:vector>
  </TitlesOfParts>
  <Company/>
  <LinksUpToDate>false</LinksUpToDate>
  <CharactersWithSpaces>2100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Observing the extraordinary growth potential of China, Taiwanese enterprises have</dc:title>
  <dc:creator>張　喬森</dc:creator>
  <cp:lastModifiedBy>日本大学　商学部</cp:lastModifiedBy>
  <cp:revision>3</cp:revision>
  <cp:lastPrinted>2010-06-07T01:54:00Z</cp:lastPrinted>
  <dcterms:created xsi:type="dcterms:W3CDTF">2011-03-29T04:16:00Z</dcterms:created>
  <dcterms:modified xsi:type="dcterms:W3CDTF">2011-03-29T04:29:00Z</dcterms:modified>
</cp:coreProperties>
</file>